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E98E0" w14:textId="1A339EFB" w:rsidR="0042712C" w:rsidRDefault="009C32FA" w:rsidP="005D265F">
      <w:pPr>
        <w:ind w:left="-426" w:firstLine="0"/>
      </w:pPr>
      <w:r>
        <w:rPr>
          <w:rFonts w:ascii="Verdana" w:hAnsi="Verdana"/>
          <w:caps/>
          <w:noProof/>
          <w:color w:val="3B3838" w:themeColor="background2" w:themeShade="40"/>
          <w:sz w:val="44"/>
          <w:szCs w:val="44"/>
        </w:rPr>
        <w:drawing>
          <wp:inline distT="0" distB="0" distL="0" distR="0" wp14:anchorId="26C47CC1" wp14:editId="7669A5CB">
            <wp:extent cx="2135505" cy="551180"/>
            <wp:effectExtent l="0" t="0" r="0" b="0"/>
            <wp:docPr id="10" name="Imagen 10" descr="Logotipo de la Oficina de Acces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de la Oficina de Accesibilidad."/>
                    <pic:cNvPicPr/>
                  </pic:nvPicPr>
                  <pic:blipFill rotWithShape="1">
                    <a:blip r:embed="rId10" cstate="print">
                      <a:extLst>
                        <a:ext uri="{28A0092B-C50C-407E-A947-70E740481C1C}">
                          <a14:useLocalDpi xmlns:a14="http://schemas.microsoft.com/office/drawing/2010/main" val="0"/>
                        </a:ext>
                      </a:extLst>
                    </a:blip>
                    <a:srcRect b="54356"/>
                    <a:stretch/>
                  </pic:blipFill>
                  <pic:spPr bwMode="auto">
                    <a:xfrm>
                      <a:off x="0" y="0"/>
                      <a:ext cx="2135505" cy="551180"/>
                    </a:xfrm>
                    <a:prstGeom prst="rect">
                      <a:avLst/>
                    </a:prstGeom>
                    <a:ln>
                      <a:noFill/>
                    </a:ln>
                    <a:extLst>
                      <a:ext uri="{53640926-AAD7-44D8-BBD7-CCE9431645EC}">
                        <a14:shadowObscured xmlns:a14="http://schemas.microsoft.com/office/drawing/2010/main"/>
                      </a:ext>
                    </a:extLst>
                  </pic:spPr>
                </pic:pic>
              </a:graphicData>
            </a:graphic>
          </wp:inline>
        </w:drawing>
      </w:r>
    </w:p>
    <w:p w14:paraId="7307831E" w14:textId="5DAC1235" w:rsidR="00EA49DD" w:rsidRDefault="006879BC" w:rsidP="00EA49DD">
      <w:pPr>
        <w:ind w:left="426" w:right="7252" w:hanging="852"/>
        <w:jc w:val="right"/>
        <w:rPr>
          <w:rFonts w:ascii="Verdana" w:hAnsi="Verdana"/>
          <w:color w:val="3B3838" w:themeColor="background2" w:themeShade="40"/>
          <w:sz w:val="44"/>
          <w:szCs w:val="44"/>
        </w:rPr>
      </w:pPr>
      <w:r w:rsidRPr="0042712C">
        <w:rPr>
          <w:rFonts w:ascii="Verdana" w:hAnsi="Verdana"/>
          <w:noProof/>
          <w:color w:val="3B3838" w:themeColor="background2" w:themeShade="40"/>
          <w:sz w:val="44"/>
          <w:szCs w:val="44"/>
        </w:rPr>
        <mc:AlternateContent>
          <mc:Choice Requires="wps">
            <w:drawing>
              <wp:anchor distT="0" distB="0" distL="114300" distR="114300" simplePos="0" relativeHeight="251666432" behindDoc="0" locked="0" layoutInCell="1" allowOverlap="1" wp14:anchorId="4E897AD0" wp14:editId="2B92D7B1">
                <wp:simplePos x="0" y="0"/>
                <wp:positionH relativeFrom="column">
                  <wp:posOffset>364278</wp:posOffset>
                </wp:positionH>
                <wp:positionV relativeFrom="paragraph">
                  <wp:posOffset>180128</wp:posOffset>
                </wp:positionV>
                <wp:extent cx="45085" cy="628650"/>
                <wp:effectExtent l="0" t="0" r="5715" b="6350"/>
                <wp:wrapNone/>
                <wp:docPr id="14" name="Rectángul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5085" cy="6286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83E8B" id="Rectángulo 14" o:spid="_x0000_s1026" alt="&quot;&quot;" style="position:absolute;margin-left:28.7pt;margin-top:14.2pt;width:3.55pt;height:4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" fillcolor="#0070c0" stroked="f" strokeweight="1pt"/>
            </w:pict>
          </mc:Fallback>
        </mc:AlternateContent>
      </w:r>
    </w:p>
    <w:p w14:paraId="063C2A2F" w14:textId="4B1AC95F" w:rsidR="00096DB5" w:rsidRPr="00C53806" w:rsidRDefault="00F40FE8" w:rsidP="00C53806">
      <w:pPr>
        <w:ind w:left="2127"/>
        <w:jc w:val="right"/>
        <w:rPr>
          <w:rFonts w:ascii="Verdana" w:hAnsi="Verdana"/>
          <w:color w:val="3B3838" w:themeColor="background2" w:themeShade="40"/>
          <w:sz w:val="44"/>
          <w:szCs w:val="44"/>
        </w:rPr>
      </w:pPr>
      <w:r w:rsidRPr="00C53806">
        <w:rPr>
          <w:noProof/>
          <w:color w:val="D56616"/>
        </w:rPr>
        <mc:AlternateContent>
          <mc:Choice Requires="wps">
            <w:drawing>
              <wp:anchor distT="0" distB="0" distL="114300" distR="114300" simplePos="0" relativeHeight="251659264" behindDoc="0" locked="0" layoutInCell="1" allowOverlap="1" wp14:anchorId="69DD1C56" wp14:editId="44FACD4F">
                <wp:simplePos x="0" y="0"/>
                <wp:positionH relativeFrom="column">
                  <wp:posOffset>-53975</wp:posOffset>
                </wp:positionH>
                <wp:positionV relativeFrom="paragraph">
                  <wp:posOffset>423001</wp:posOffset>
                </wp:positionV>
                <wp:extent cx="831215" cy="1160145"/>
                <wp:effectExtent l="0" t="0" r="0" b="0"/>
                <wp:wrapNone/>
                <wp:docPr id="116" name="Rectángulo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31215" cy="116014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CBDE48" id="Rectángulo 116" o:spid="_x0000_s1026" alt="&quot;&quot;" style="position:absolute;margin-left:-4.25pt;margin-top:33.3pt;width:65.45pt;height:9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" fillcolor="#7030a0" stroked="f" strokeweight="1pt">
                <o:lock v:ext="edit" aspectratio="t"/>
              </v:rect>
            </w:pict>
          </mc:Fallback>
        </mc:AlternateContent>
      </w:r>
    </w:p>
    <w:p w14:paraId="2E5FC182" w14:textId="77777777" w:rsidR="008F63C8" w:rsidRPr="008F63C8" w:rsidRDefault="008F63C8" w:rsidP="00C53806">
      <w:pPr>
        <w:spacing w:line="276" w:lineRule="auto"/>
        <w:ind w:left="1843" w:right="-7" w:firstLine="0"/>
        <w:rPr>
          <w:rFonts w:ascii="Verdana" w:hAnsi="Verdana"/>
          <w:color w:val="D56616"/>
          <w:sz w:val="52"/>
          <w:szCs w:val="52"/>
        </w:rPr>
      </w:pPr>
    </w:p>
    <w:p w14:paraId="60F19DCC" w14:textId="2BF4AA18" w:rsidR="00E208A9" w:rsidRDefault="0038520C" w:rsidP="0038520C">
      <w:pPr>
        <w:ind w:left="2268" w:firstLine="0"/>
        <w:rPr>
          <w:rFonts w:ascii="Verdana" w:hAnsi="Verdana"/>
          <w:color w:val="7030A0"/>
          <w:sz w:val="44"/>
          <w:szCs w:val="44"/>
        </w:rPr>
      </w:pPr>
      <w:r w:rsidRPr="0042712C">
        <w:rPr>
          <w:rFonts w:ascii="Verdana" w:hAnsi="Verdana"/>
          <w:noProof/>
          <w:color w:val="3B3838" w:themeColor="background2" w:themeShade="40"/>
          <w:sz w:val="44"/>
          <w:szCs w:val="44"/>
        </w:rPr>
        <mc:AlternateContent>
          <mc:Choice Requires="wps">
            <w:drawing>
              <wp:anchor distT="0" distB="0" distL="114300" distR="114300" simplePos="0" relativeHeight="251676672" behindDoc="0" locked="0" layoutInCell="1" allowOverlap="1" wp14:anchorId="2781C1CD" wp14:editId="4A2B6381">
                <wp:simplePos x="0" y="0"/>
                <wp:positionH relativeFrom="column">
                  <wp:posOffset>367030</wp:posOffset>
                </wp:positionH>
                <wp:positionV relativeFrom="paragraph">
                  <wp:posOffset>980228</wp:posOffset>
                </wp:positionV>
                <wp:extent cx="45719" cy="3666067"/>
                <wp:effectExtent l="0" t="0" r="5715" b="4445"/>
                <wp:wrapNone/>
                <wp:docPr id="3" name="Rectángul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5719" cy="3666067"/>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976AB" id="Rectángulo 3" o:spid="_x0000_s1026" alt="&quot;&quot;" style="position:absolute;margin-left:28.9pt;margin-top:77.2pt;width:3.6pt;height:288.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" fillcolor="#0070c0" stroked="f" strokeweight="1pt"/>
            </w:pict>
          </mc:Fallback>
        </mc:AlternateContent>
      </w:r>
      <w:r w:rsidR="00E208A9" w:rsidRPr="008F2ED9">
        <w:rPr>
          <w:rFonts w:ascii="Verdana" w:hAnsi="Verdana"/>
          <w:color w:val="7030A0"/>
          <w:sz w:val="44"/>
          <w:szCs w:val="44"/>
        </w:rPr>
        <w:t>AJUSTE</w:t>
      </w:r>
      <w:r w:rsidR="0045352A">
        <w:rPr>
          <w:rFonts w:ascii="Verdana" w:hAnsi="Verdana"/>
          <w:color w:val="7030A0"/>
          <w:sz w:val="44"/>
          <w:szCs w:val="44"/>
        </w:rPr>
        <w:t>S</w:t>
      </w:r>
      <w:r w:rsidR="00E208A9" w:rsidRPr="008F2ED9">
        <w:rPr>
          <w:rFonts w:ascii="Verdana" w:hAnsi="Verdana"/>
          <w:color w:val="7030A0"/>
          <w:sz w:val="44"/>
          <w:szCs w:val="44"/>
        </w:rPr>
        <w:t xml:space="preserve"> RAZONABLE</w:t>
      </w:r>
      <w:r w:rsidR="0045352A">
        <w:rPr>
          <w:rFonts w:ascii="Verdana" w:hAnsi="Verdana"/>
          <w:color w:val="7030A0"/>
          <w:sz w:val="44"/>
          <w:szCs w:val="44"/>
        </w:rPr>
        <w:t>S</w:t>
      </w:r>
      <w:r w:rsidR="006E1B5A">
        <w:rPr>
          <w:rFonts w:ascii="Verdana" w:hAnsi="Verdana"/>
          <w:color w:val="7030A0"/>
          <w:sz w:val="44"/>
          <w:szCs w:val="44"/>
        </w:rPr>
        <w:t xml:space="preserve"> Y ADECUACIÓN EFECTIVA</w:t>
      </w:r>
    </w:p>
    <w:p w14:paraId="24EF0CE6" w14:textId="69C510B0" w:rsidR="00FE64E4" w:rsidRPr="00E208A9" w:rsidRDefault="00FE64E4" w:rsidP="00E208A9">
      <w:pPr>
        <w:ind w:left="2268"/>
        <w:rPr>
          <w:rFonts w:ascii="Verdana" w:hAnsi="Verdana"/>
          <w:color w:val="7030A0"/>
          <w:sz w:val="44"/>
          <w:szCs w:val="44"/>
        </w:rPr>
      </w:pPr>
    </w:p>
    <w:p w14:paraId="5EFBCD9B" w14:textId="0C584276" w:rsidR="00A43D2A" w:rsidRDefault="00A43D2A" w:rsidP="00F40FE8">
      <w:pPr>
        <w:ind w:left="1843" w:firstLine="0"/>
        <w:rPr>
          <w:rFonts w:ascii="Verdana" w:hAnsi="Verdana"/>
          <w:noProof/>
          <w:color w:val="2F5496" w:themeColor="accent1" w:themeShade="BF"/>
          <w:sz w:val="28"/>
          <w:szCs w:val="28"/>
        </w:rPr>
      </w:pPr>
    </w:p>
    <w:p w14:paraId="436B8BDA" w14:textId="1DCDED92" w:rsidR="00A43D2A" w:rsidRDefault="00A43D2A" w:rsidP="00F40FE8">
      <w:pPr>
        <w:ind w:left="1843" w:firstLine="0"/>
        <w:rPr>
          <w:rFonts w:ascii="Verdana" w:hAnsi="Verdana"/>
          <w:noProof/>
          <w:color w:val="2F5496" w:themeColor="accent1" w:themeShade="BF"/>
          <w:sz w:val="28"/>
          <w:szCs w:val="28"/>
        </w:rPr>
      </w:pPr>
    </w:p>
    <w:p w14:paraId="24F5EDE3" w14:textId="66C33BD5" w:rsidR="009C32FA" w:rsidRDefault="009C32FA" w:rsidP="001408DE">
      <w:pPr>
        <w:spacing w:line="276" w:lineRule="auto"/>
        <w:ind w:left="1843" w:firstLine="0"/>
        <w:rPr>
          <w:rFonts w:ascii="Verdana" w:hAnsi="Verdana"/>
          <w:noProof/>
          <w:color w:val="2F5496" w:themeColor="accent1" w:themeShade="BF"/>
          <w:sz w:val="28"/>
          <w:szCs w:val="28"/>
        </w:rPr>
      </w:pPr>
      <w:r w:rsidRPr="004403F2">
        <w:rPr>
          <w:rFonts w:ascii="Verdana" w:hAnsi="Verdana"/>
          <w:noProof/>
          <w:color w:val="2F5496" w:themeColor="accent1" w:themeShade="BF"/>
          <w:sz w:val="28"/>
          <w:szCs w:val="28"/>
        </w:rPr>
        <w:t xml:space="preserve">Manual de Accesibilidad para </w:t>
      </w:r>
      <w:r>
        <w:rPr>
          <w:rFonts w:ascii="Verdana" w:hAnsi="Verdana"/>
          <w:noProof/>
          <w:color w:val="2F5496" w:themeColor="accent1" w:themeShade="BF"/>
          <w:sz w:val="28"/>
          <w:szCs w:val="28"/>
        </w:rPr>
        <w:t>E</w:t>
      </w:r>
      <w:r w:rsidRPr="004403F2">
        <w:rPr>
          <w:rFonts w:ascii="Verdana" w:hAnsi="Verdana"/>
          <w:noProof/>
          <w:color w:val="2F5496" w:themeColor="accent1" w:themeShade="BF"/>
          <w:sz w:val="28"/>
          <w:szCs w:val="28"/>
        </w:rPr>
        <w:t xml:space="preserve">spacios </w:t>
      </w:r>
      <w:r>
        <w:rPr>
          <w:rFonts w:ascii="Verdana" w:hAnsi="Verdana"/>
          <w:noProof/>
          <w:color w:val="2F5496" w:themeColor="accent1" w:themeShade="BF"/>
          <w:sz w:val="28"/>
          <w:szCs w:val="28"/>
        </w:rPr>
        <w:t>P</w:t>
      </w:r>
      <w:r w:rsidRPr="004403F2">
        <w:rPr>
          <w:rFonts w:ascii="Verdana" w:hAnsi="Verdana"/>
          <w:noProof/>
          <w:color w:val="2F5496" w:themeColor="accent1" w:themeShade="BF"/>
          <w:sz w:val="28"/>
          <w:szCs w:val="28"/>
        </w:rPr>
        <w:t>úblicos</w:t>
      </w:r>
    </w:p>
    <w:p w14:paraId="09B3E925" w14:textId="6DD6237E" w:rsidR="009C32FA" w:rsidRDefault="009C32FA" w:rsidP="001408DE">
      <w:pPr>
        <w:spacing w:line="276" w:lineRule="auto"/>
        <w:ind w:left="1843" w:firstLine="0"/>
        <w:rPr>
          <w:rFonts w:ascii="Verdana" w:hAnsi="Verdana"/>
          <w:noProof/>
          <w:color w:val="2F5496" w:themeColor="accent1" w:themeShade="BF"/>
          <w:sz w:val="28"/>
          <w:szCs w:val="28"/>
        </w:rPr>
      </w:pPr>
      <w:r>
        <w:rPr>
          <w:rFonts w:ascii="Verdana" w:hAnsi="Verdana"/>
          <w:noProof/>
          <w:color w:val="2F5496" w:themeColor="accent1" w:themeShade="BF"/>
          <w:sz w:val="28"/>
          <w:szCs w:val="28"/>
        </w:rPr>
        <w:t>U</w:t>
      </w:r>
      <w:r w:rsidRPr="004403F2">
        <w:rPr>
          <w:rFonts w:ascii="Verdana" w:hAnsi="Verdana"/>
          <w:noProof/>
          <w:color w:val="2F5496" w:themeColor="accent1" w:themeShade="BF"/>
          <w:sz w:val="28"/>
          <w:szCs w:val="28"/>
        </w:rPr>
        <w:t>rbanizados del Ayuntamiento de Madrid</w:t>
      </w:r>
    </w:p>
    <w:p w14:paraId="5603F573" w14:textId="374CD268" w:rsidR="009C32FA" w:rsidRDefault="009C32FA" w:rsidP="00F917A7">
      <w:pPr>
        <w:spacing w:after="2000" w:line="276" w:lineRule="auto"/>
        <w:ind w:left="1843" w:firstLine="0"/>
        <w:rPr>
          <w:rFonts w:ascii="Verdana" w:hAnsi="Verdana"/>
          <w:noProof/>
          <w:color w:val="2F5496" w:themeColor="accent1" w:themeShade="BF"/>
          <w:sz w:val="28"/>
          <w:szCs w:val="28"/>
        </w:rPr>
      </w:pPr>
      <w:r>
        <w:rPr>
          <w:rFonts w:ascii="Verdana" w:hAnsi="Verdana"/>
          <w:noProof/>
          <w:color w:val="2F5496" w:themeColor="accent1" w:themeShade="BF"/>
          <w:sz w:val="28"/>
          <w:szCs w:val="28"/>
        </w:rPr>
        <w:t>Versión 2022</w:t>
      </w:r>
      <w:r w:rsidR="001A1A17">
        <w:rPr>
          <w:rFonts w:ascii="Verdana" w:hAnsi="Verdana"/>
          <w:noProof/>
          <w:color w:val="2F5496" w:themeColor="accent1" w:themeShade="BF"/>
          <w:sz w:val="28"/>
          <w:szCs w:val="28"/>
        </w:rPr>
        <w:t xml:space="preserve"> (adaptada a lectores de pantalla)</w:t>
      </w:r>
    </w:p>
    <w:p w14:paraId="21A00339" w14:textId="12A85E07" w:rsidR="00F917A7" w:rsidRDefault="0050740A" w:rsidP="005B1E32">
      <w:pPr>
        <w:spacing w:before="0" w:after="1080" w:line="720" w:lineRule="auto"/>
        <w:ind w:left="567" w:firstLine="2977"/>
        <w:rPr>
          <w:rFonts w:ascii="Verdana" w:hAnsi="Verdana"/>
          <w:color w:val="2F5496" w:themeColor="accent1" w:themeShade="BF"/>
          <w:sz w:val="28"/>
          <w:szCs w:val="28"/>
        </w:rPr>
      </w:pPr>
      <w:r>
        <w:rPr>
          <w:rFonts w:ascii="Verdana" w:hAnsi="Verdana"/>
          <w:noProof/>
          <w:color w:val="4472C4" w:themeColor="accent1"/>
          <w:sz w:val="20"/>
          <w:szCs w:val="20"/>
        </w:rPr>
        <w:drawing>
          <wp:inline distT="0" distB="0" distL="0" distR="0" wp14:anchorId="5D12A0F8" wp14:editId="6217B33D">
            <wp:extent cx="3492500" cy="763270"/>
            <wp:effectExtent l="0" t="0" r="0" b="0"/>
            <wp:docPr id="5" name="Imagen 5" descr="Obras y equipamientos. Ayuntamiento de Madr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5" descr="Obras y equipamientos. Ayuntamiento de Madrid">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r="5948" b="24490"/>
                    <a:stretch/>
                  </pic:blipFill>
                  <pic:spPr bwMode="auto">
                    <a:xfrm>
                      <a:off x="0" y="0"/>
                      <a:ext cx="3492500" cy="763270"/>
                    </a:xfrm>
                    <a:prstGeom prst="rect">
                      <a:avLst/>
                    </a:prstGeom>
                    <a:ln>
                      <a:noFill/>
                    </a:ln>
                    <a:extLst>
                      <a:ext uri="{53640926-AAD7-44D8-BBD7-CCE9431645EC}">
                        <a14:shadowObscured xmlns:a14="http://schemas.microsoft.com/office/drawing/2010/main"/>
                      </a:ext>
                    </a:extLst>
                  </pic:spPr>
                </pic:pic>
              </a:graphicData>
            </a:graphic>
          </wp:inline>
        </w:drawing>
      </w:r>
    </w:p>
    <w:p w14:paraId="0B029A91" w14:textId="39E41DEA" w:rsidR="001141E3" w:rsidRPr="00277C54" w:rsidRDefault="00277C54" w:rsidP="00277C54">
      <w:pPr>
        <w:ind w:left="567" w:hanging="567"/>
        <w:jc w:val="center"/>
        <w:rPr>
          <w:rFonts w:ascii="Verdana" w:hAnsi="Verdana"/>
          <w:color w:val="7030A0"/>
          <w:sz w:val="28"/>
          <w:szCs w:val="28"/>
        </w:rPr>
      </w:pPr>
      <w:r w:rsidRPr="00277C54">
        <w:rPr>
          <w:rFonts w:ascii="Verdana" w:hAnsi="Verdana"/>
          <w:color w:val="7030A0"/>
          <w:sz w:val="28"/>
          <w:szCs w:val="28"/>
        </w:rPr>
        <w:lastRenderedPageBreak/>
        <w:t>ÍNDICE</w:t>
      </w:r>
    </w:p>
    <w:p w14:paraId="38148828" w14:textId="2ED69F1B" w:rsidR="000A4485" w:rsidRDefault="000A4485">
      <w:pPr>
        <w:pStyle w:val="TDC1"/>
        <w:rPr>
          <w:rFonts w:asciiTheme="minorHAnsi" w:eastAsiaTheme="minorEastAsia" w:hAnsiTheme="minorHAnsi"/>
          <w:b w:val="0"/>
          <w:noProof/>
          <w:lang w:eastAsia="es-ES_tradnl"/>
        </w:rPr>
      </w:pPr>
      <w:r>
        <w:rPr>
          <w:color w:val="2F5496" w:themeColor="accent1" w:themeShade="BF"/>
          <w:sz w:val="28"/>
          <w:szCs w:val="28"/>
        </w:rPr>
        <w:fldChar w:fldCharType="begin"/>
      </w:r>
      <w:r>
        <w:rPr>
          <w:color w:val="2F5496" w:themeColor="accent1" w:themeShade="BF"/>
          <w:sz w:val="28"/>
          <w:szCs w:val="28"/>
        </w:rPr>
        <w:instrText xml:space="preserve"> TOC \o "1-3" \h \z \u </w:instrText>
      </w:r>
      <w:r>
        <w:rPr>
          <w:color w:val="2F5496" w:themeColor="accent1" w:themeShade="BF"/>
          <w:sz w:val="28"/>
          <w:szCs w:val="28"/>
        </w:rPr>
        <w:fldChar w:fldCharType="separate"/>
      </w:r>
      <w:hyperlink w:anchor="_Toc115248212" w:history="1">
        <w:r w:rsidRPr="00640A17">
          <w:rPr>
            <w:rStyle w:val="Hipervnculo"/>
            <w:noProof/>
          </w:rPr>
          <w:t>1.</w:t>
        </w:r>
        <w:r>
          <w:rPr>
            <w:rFonts w:asciiTheme="minorHAnsi" w:eastAsiaTheme="minorEastAsia" w:hAnsiTheme="minorHAnsi"/>
            <w:b w:val="0"/>
            <w:noProof/>
            <w:lang w:eastAsia="es-ES_tradnl"/>
          </w:rPr>
          <w:tab/>
        </w:r>
        <w:r w:rsidRPr="00640A17">
          <w:rPr>
            <w:rStyle w:val="Hipervnculo"/>
            <w:noProof/>
          </w:rPr>
          <w:t>Ajustes razonables y adecuación efectiva</w:t>
        </w:r>
        <w:r>
          <w:rPr>
            <w:noProof/>
            <w:webHidden/>
          </w:rPr>
          <w:tab/>
        </w:r>
        <w:r>
          <w:rPr>
            <w:noProof/>
            <w:webHidden/>
          </w:rPr>
          <w:fldChar w:fldCharType="begin"/>
        </w:r>
        <w:r>
          <w:rPr>
            <w:noProof/>
            <w:webHidden/>
          </w:rPr>
          <w:instrText xml:space="preserve"> PAGEREF _Toc115248212 \h </w:instrText>
        </w:r>
        <w:r>
          <w:rPr>
            <w:noProof/>
            <w:webHidden/>
          </w:rPr>
        </w:r>
        <w:r>
          <w:rPr>
            <w:noProof/>
            <w:webHidden/>
          </w:rPr>
          <w:fldChar w:fldCharType="separate"/>
        </w:r>
        <w:r>
          <w:rPr>
            <w:noProof/>
            <w:webHidden/>
          </w:rPr>
          <w:t>2</w:t>
        </w:r>
        <w:r>
          <w:rPr>
            <w:noProof/>
            <w:webHidden/>
          </w:rPr>
          <w:fldChar w:fldCharType="end"/>
        </w:r>
      </w:hyperlink>
    </w:p>
    <w:p w14:paraId="06B82F37" w14:textId="7E1D0D38" w:rsidR="000A4485" w:rsidRDefault="00000000">
      <w:pPr>
        <w:pStyle w:val="TDC3"/>
        <w:rPr>
          <w:rFonts w:asciiTheme="minorHAnsi" w:eastAsiaTheme="minorEastAsia" w:hAnsiTheme="minorHAnsi"/>
          <w:noProof/>
          <w:sz w:val="24"/>
          <w:lang w:eastAsia="es-ES_tradnl"/>
        </w:rPr>
      </w:pPr>
      <w:hyperlink w:anchor="_Toc115248213" w:history="1">
        <w:r w:rsidR="000A4485" w:rsidRPr="00640A17">
          <w:rPr>
            <w:rStyle w:val="Hipervnculo"/>
            <w:noProof/>
          </w:rPr>
          <w:t>1.</w:t>
        </w:r>
        <w:r w:rsidR="000A4485">
          <w:rPr>
            <w:rFonts w:asciiTheme="minorHAnsi" w:eastAsiaTheme="minorEastAsia" w:hAnsiTheme="minorHAnsi"/>
            <w:noProof/>
            <w:sz w:val="24"/>
            <w:lang w:eastAsia="es-ES_tradnl"/>
          </w:rPr>
          <w:tab/>
        </w:r>
        <w:r w:rsidR="000A4485" w:rsidRPr="00640A17">
          <w:rPr>
            <w:rStyle w:val="Hipervnculo"/>
            <w:noProof/>
          </w:rPr>
          <w:t>Ajustes razonables</w:t>
        </w:r>
        <w:r w:rsidR="000A4485">
          <w:rPr>
            <w:noProof/>
            <w:webHidden/>
          </w:rPr>
          <w:tab/>
        </w:r>
        <w:r w:rsidR="000A4485">
          <w:rPr>
            <w:noProof/>
            <w:webHidden/>
          </w:rPr>
          <w:fldChar w:fldCharType="begin"/>
        </w:r>
        <w:r w:rsidR="000A4485">
          <w:rPr>
            <w:noProof/>
            <w:webHidden/>
          </w:rPr>
          <w:instrText xml:space="preserve"> PAGEREF _Toc115248213 \h </w:instrText>
        </w:r>
        <w:r w:rsidR="000A4485">
          <w:rPr>
            <w:noProof/>
            <w:webHidden/>
          </w:rPr>
        </w:r>
        <w:r w:rsidR="000A4485">
          <w:rPr>
            <w:noProof/>
            <w:webHidden/>
          </w:rPr>
          <w:fldChar w:fldCharType="separate"/>
        </w:r>
        <w:r w:rsidR="000A4485">
          <w:rPr>
            <w:noProof/>
            <w:webHidden/>
          </w:rPr>
          <w:t>2</w:t>
        </w:r>
        <w:r w:rsidR="000A4485">
          <w:rPr>
            <w:noProof/>
            <w:webHidden/>
          </w:rPr>
          <w:fldChar w:fldCharType="end"/>
        </w:r>
      </w:hyperlink>
    </w:p>
    <w:p w14:paraId="62F80BCC" w14:textId="4E6BD88D" w:rsidR="000A4485" w:rsidRDefault="00000000">
      <w:pPr>
        <w:pStyle w:val="TDC3"/>
        <w:rPr>
          <w:rFonts w:asciiTheme="minorHAnsi" w:eastAsiaTheme="minorEastAsia" w:hAnsiTheme="minorHAnsi"/>
          <w:noProof/>
          <w:sz w:val="24"/>
          <w:lang w:eastAsia="es-ES_tradnl"/>
        </w:rPr>
      </w:pPr>
      <w:hyperlink w:anchor="_Toc115248214" w:history="1">
        <w:r w:rsidR="000A4485" w:rsidRPr="00640A17">
          <w:rPr>
            <w:rStyle w:val="Hipervnculo"/>
            <w:noProof/>
          </w:rPr>
          <w:t>2.</w:t>
        </w:r>
        <w:r w:rsidR="000A4485">
          <w:rPr>
            <w:rFonts w:asciiTheme="minorHAnsi" w:eastAsiaTheme="minorEastAsia" w:hAnsiTheme="minorHAnsi"/>
            <w:noProof/>
            <w:sz w:val="24"/>
            <w:lang w:eastAsia="es-ES_tradnl"/>
          </w:rPr>
          <w:tab/>
        </w:r>
        <w:r w:rsidR="000A4485" w:rsidRPr="00640A17">
          <w:rPr>
            <w:rStyle w:val="Hipervnculo"/>
            <w:noProof/>
          </w:rPr>
          <w:t>Adecuación efectiva</w:t>
        </w:r>
        <w:r w:rsidR="000A4485">
          <w:rPr>
            <w:noProof/>
            <w:webHidden/>
          </w:rPr>
          <w:tab/>
        </w:r>
        <w:r w:rsidR="000A4485">
          <w:rPr>
            <w:noProof/>
            <w:webHidden/>
          </w:rPr>
          <w:fldChar w:fldCharType="begin"/>
        </w:r>
        <w:r w:rsidR="000A4485">
          <w:rPr>
            <w:noProof/>
            <w:webHidden/>
          </w:rPr>
          <w:instrText xml:space="preserve"> PAGEREF _Toc115248214 \h </w:instrText>
        </w:r>
        <w:r w:rsidR="000A4485">
          <w:rPr>
            <w:noProof/>
            <w:webHidden/>
          </w:rPr>
        </w:r>
        <w:r w:rsidR="000A4485">
          <w:rPr>
            <w:noProof/>
            <w:webHidden/>
          </w:rPr>
          <w:fldChar w:fldCharType="separate"/>
        </w:r>
        <w:r w:rsidR="000A4485">
          <w:rPr>
            <w:noProof/>
            <w:webHidden/>
          </w:rPr>
          <w:t>6</w:t>
        </w:r>
        <w:r w:rsidR="000A4485">
          <w:rPr>
            <w:noProof/>
            <w:webHidden/>
          </w:rPr>
          <w:fldChar w:fldCharType="end"/>
        </w:r>
      </w:hyperlink>
    </w:p>
    <w:p w14:paraId="60E98180" w14:textId="4916C730" w:rsidR="000A4485" w:rsidRDefault="00000000">
      <w:pPr>
        <w:pStyle w:val="TDC3"/>
        <w:rPr>
          <w:rFonts w:asciiTheme="minorHAnsi" w:eastAsiaTheme="minorEastAsia" w:hAnsiTheme="minorHAnsi"/>
          <w:noProof/>
          <w:sz w:val="24"/>
          <w:lang w:eastAsia="es-ES_tradnl"/>
        </w:rPr>
      </w:pPr>
      <w:hyperlink w:anchor="_Toc115248215" w:history="1">
        <w:r w:rsidR="000A4485" w:rsidRPr="00640A17">
          <w:rPr>
            <w:rStyle w:val="Hipervnculo"/>
            <w:noProof/>
          </w:rPr>
          <w:t>3.</w:t>
        </w:r>
        <w:r w:rsidR="000A4485">
          <w:rPr>
            <w:rFonts w:asciiTheme="minorHAnsi" w:eastAsiaTheme="minorEastAsia" w:hAnsiTheme="minorHAnsi"/>
            <w:noProof/>
            <w:sz w:val="24"/>
            <w:lang w:eastAsia="es-ES_tradnl"/>
          </w:rPr>
          <w:tab/>
        </w:r>
        <w:r w:rsidR="000A4485" w:rsidRPr="00640A17">
          <w:rPr>
            <w:rStyle w:val="Hipervnculo"/>
            <w:noProof/>
          </w:rPr>
          <w:t>Ajuste razonable en espacios públicos urbanos existentes</w:t>
        </w:r>
        <w:r w:rsidR="000A4485">
          <w:rPr>
            <w:noProof/>
            <w:webHidden/>
          </w:rPr>
          <w:tab/>
        </w:r>
        <w:r w:rsidR="000A4485">
          <w:rPr>
            <w:noProof/>
            <w:webHidden/>
          </w:rPr>
          <w:fldChar w:fldCharType="begin"/>
        </w:r>
        <w:r w:rsidR="000A4485">
          <w:rPr>
            <w:noProof/>
            <w:webHidden/>
          </w:rPr>
          <w:instrText xml:space="preserve"> PAGEREF _Toc115248215 \h </w:instrText>
        </w:r>
        <w:r w:rsidR="000A4485">
          <w:rPr>
            <w:noProof/>
            <w:webHidden/>
          </w:rPr>
        </w:r>
        <w:r w:rsidR="000A4485">
          <w:rPr>
            <w:noProof/>
            <w:webHidden/>
          </w:rPr>
          <w:fldChar w:fldCharType="separate"/>
        </w:r>
        <w:r w:rsidR="000A4485">
          <w:rPr>
            <w:noProof/>
            <w:webHidden/>
          </w:rPr>
          <w:t>7</w:t>
        </w:r>
        <w:r w:rsidR="000A4485">
          <w:rPr>
            <w:noProof/>
            <w:webHidden/>
          </w:rPr>
          <w:fldChar w:fldCharType="end"/>
        </w:r>
      </w:hyperlink>
    </w:p>
    <w:p w14:paraId="7919F705" w14:textId="37089932" w:rsidR="000A4485" w:rsidRDefault="00000000">
      <w:pPr>
        <w:pStyle w:val="TDC1"/>
        <w:rPr>
          <w:rFonts w:asciiTheme="minorHAnsi" w:eastAsiaTheme="minorEastAsia" w:hAnsiTheme="minorHAnsi"/>
          <w:b w:val="0"/>
          <w:noProof/>
          <w:lang w:eastAsia="es-ES_tradnl"/>
        </w:rPr>
      </w:pPr>
      <w:hyperlink w:anchor="_Toc115248216" w:history="1">
        <w:r w:rsidR="000A4485" w:rsidRPr="00640A17">
          <w:rPr>
            <w:rStyle w:val="Hipervnculo"/>
            <w:noProof/>
          </w:rPr>
          <w:t>2.</w:t>
        </w:r>
        <w:r w:rsidR="000A4485">
          <w:rPr>
            <w:rFonts w:asciiTheme="minorHAnsi" w:eastAsiaTheme="minorEastAsia" w:hAnsiTheme="minorHAnsi"/>
            <w:b w:val="0"/>
            <w:noProof/>
            <w:lang w:eastAsia="es-ES_tradnl"/>
          </w:rPr>
          <w:tab/>
        </w:r>
        <w:r w:rsidR="000A4485" w:rsidRPr="00640A17">
          <w:rPr>
            <w:rStyle w:val="Hipervnculo"/>
            <w:noProof/>
          </w:rPr>
          <w:t>Adecuación efectiva de espacios públicos urbanizados</w:t>
        </w:r>
        <w:r w:rsidR="000A4485">
          <w:rPr>
            <w:noProof/>
            <w:webHidden/>
          </w:rPr>
          <w:tab/>
        </w:r>
        <w:r w:rsidR="000A4485">
          <w:rPr>
            <w:noProof/>
            <w:webHidden/>
          </w:rPr>
          <w:fldChar w:fldCharType="begin"/>
        </w:r>
        <w:r w:rsidR="000A4485">
          <w:rPr>
            <w:noProof/>
            <w:webHidden/>
          </w:rPr>
          <w:instrText xml:space="preserve"> PAGEREF _Toc115248216 \h </w:instrText>
        </w:r>
        <w:r w:rsidR="000A4485">
          <w:rPr>
            <w:noProof/>
            <w:webHidden/>
          </w:rPr>
        </w:r>
        <w:r w:rsidR="000A4485">
          <w:rPr>
            <w:noProof/>
            <w:webHidden/>
          </w:rPr>
          <w:fldChar w:fldCharType="separate"/>
        </w:r>
        <w:r w:rsidR="000A4485">
          <w:rPr>
            <w:noProof/>
            <w:webHidden/>
          </w:rPr>
          <w:t>12</w:t>
        </w:r>
        <w:r w:rsidR="000A4485">
          <w:rPr>
            <w:noProof/>
            <w:webHidden/>
          </w:rPr>
          <w:fldChar w:fldCharType="end"/>
        </w:r>
      </w:hyperlink>
    </w:p>
    <w:p w14:paraId="74266DC1" w14:textId="2D23B069" w:rsidR="000A4485" w:rsidRDefault="00000000">
      <w:pPr>
        <w:pStyle w:val="TDC3"/>
        <w:rPr>
          <w:rFonts w:asciiTheme="minorHAnsi" w:eastAsiaTheme="minorEastAsia" w:hAnsiTheme="minorHAnsi"/>
          <w:noProof/>
          <w:sz w:val="24"/>
          <w:lang w:eastAsia="es-ES_tradnl"/>
        </w:rPr>
      </w:pPr>
      <w:hyperlink w:anchor="_Toc115248217" w:history="1">
        <w:r w:rsidR="000A4485" w:rsidRPr="00640A17">
          <w:rPr>
            <w:rStyle w:val="Hipervnculo"/>
            <w:noProof/>
          </w:rPr>
          <w:t>1.</w:t>
        </w:r>
        <w:r w:rsidR="000A4485">
          <w:rPr>
            <w:rFonts w:asciiTheme="minorHAnsi" w:eastAsiaTheme="minorEastAsia" w:hAnsiTheme="minorHAnsi"/>
            <w:noProof/>
            <w:sz w:val="24"/>
            <w:lang w:eastAsia="es-ES_tradnl"/>
          </w:rPr>
          <w:tab/>
        </w:r>
        <w:r w:rsidR="000A4485" w:rsidRPr="00640A17">
          <w:rPr>
            <w:rStyle w:val="Hipervnculo"/>
            <w:noProof/>
          </w:rPr>
          <w:t>Necesidad de intervención</w:t>
        </w:r>
        <w:r w:rsidR="000A4485">
          <w:rPr>
            <w:noProof/>
            <w:webHidden/>
          </w:rPr>
          <w:tab/>
        </w:r>
        <w:r w:rsidR="000A4485">
          <w:rPr>
            <w:noProof/>
            <w:webHidden/>
          </w:rPr>
          <w:fldChar w:fldCharType="begin"/>
        </w:r>
        <w:r w:rsidR="000A4485">
          <w:rPr>
            <w:noProof/>
            <w:webHidden/>
          </w:rPr>
          <w:instrText xml:space="preserve"> PAGEREF _Toc115248217 \h </w:instrText>
        </w:r>
        <w:r w:rsidR="000A4485">
          <w:rPr>
            <w:noProof/>
            <w:webHidden/>
          </w:rPr>
        </w:r>
        <w:r w:rsidR="000A4485">
          <w:rPr>
            <w:noProof/>
            <w:webHidden/>
          </w:rPr>
          <w:fldChar w:fldCharType="separate"/>
        </w:r>
        <w:r w:rsidR="000A4485">
          <w:rPr>
            <w:noProof/>
            <w:webHidden/>
          </w:rPr>
          <w:t>13</w:t>
        </w:r>
        <w:r w:rsidR="000A4485">
          <w:rPr>
            <w:noProof/>
            <w:webHidden/>
          </w:rPr>
          <w:fldChar w:fldCharType="end"/>
        </w:r>
      </w:hyperlink>
    </w:p>
    <w:p w14:paraId="014D7788" w14:textId="2F99CBE7" w:rsidR="000A4485" w:rsidRDefault="00000000">
      <w:pPr>
        <w:pStyle w:val="TDC3"/>
        <w:rPr>
          <w:rFonts w:asciiTheme="minorHAnsi" w:eastAsiaTheme="minorEastAsia" w:hAnsiTheme="minorHAnsi"/>
          <w:noProof/>
          <w:sz w:val="24"/>
          <w:lang w:eastAsia="es-ES_tradnl"/>
        </w:rPr>
      </w:pPr>
      <w:hyperlink w:anchor="_Toc115248218" w:history="1">
        <w:r w:rsidR="000A4485" w:rsidRPr="00640A17">
          <w:rPr>
            <w:rStyle w:val="Hipervnculo"/>
            <w:noProof/>
          </w:rPr>
          <w:t>2.</w:t>
        </w:r>
        <w:r w:rsidR="000A4485">
          <w:rPr>
            <w:rFonts w:asciiTheme="minorHAnsi" w:eastAsiaTheme="minorEastAsia" w:hAnsiTheme="minorHAnsi"/>
            <w:noProof/>
            <w:sz w:val="24"/>
            <w:lang w:eastAsia="es-ES_tradnl"/>
          </w:rPr>
          <w:tab/>
        </w:r>
        <w:r w:rsidR="000A4485" w:rsidRPr="00640A17">
          <w:rPr>
            <w:rStyle w:val="Hipervnculo"/>
            <w:noProof/>
          </w:rPr>
          <w:t>Viabilidad técnica de la intervención</w:t>
        </w:r>
        <w:r w:rsidR="000A4485">
          <w:rPr>
            <w:noProof/>
            <w:webHidden/>
          </w:rPr>
          <w:tab/>
        </w:r>
        <w:r w:rsidR="000A4485">
          <w:rPr>
            <w:noProof/>
            <w:webHidden/>
          </w:rPr>
          <w:fldChar w:fldCharType="begin"/>
        </w:r>
        <w:r w:rsidR="000A4485">
          <w:rPr>
            <w:noProof/>
            <w:webHidden/>
          </w:rPr>
          <w:instrText xml:space="preserve"> PAGEREF _Toc115248218 \h </w:instrText>
        </w:r>
        <w:r w:rsidR="000A4485">
          <w:rPr>
            <w:noProof/>
            <w:webHidden/>
          </w:rPr>
        </w:r>
        <w:r w:rsidR="000A4485">
          <w:rPr>
            <w:noProof/>
            <w:webHidden/>
          </w:rPr>
          <w:fldChar w:fldCharType="separate"/>
        </w:r>
        <w:r w:rsidR="000A4485">
          <w:rPr>
            <w:noProof/>
            <w:webHidden/>
          </w:rPr>
          <w:t>13</w:t>
        </w:r>
        <w:r w:rsidR="000A4485">
          <w:rPr>
            <w:noProof/>
            <w:webHidden/>
          </w:rPr>
          <w:fldChar w:fldCharType="end"/>
        </w:r>
      </w:hyperlink>
    </w:p>
    <w:p w14:paraId="13EF5DF9" w14:textId="74A84DA7" w:rsidR="000A4485" w:rsidRDefault="00000000">
      <w:pPr>
        <w:pStyle w:val="TDC3"/>
        <w:rPr>
          <w:rFonts w:asciiTheme="minorHAnsi" w:eastAsiaTheme="minorEastAsia" w:hAnsiTheme="minorHAnsi"/>
          <w:noProof/>
          <w:sz w:val="24"/>
          <w:lang w:eastAsia="es-ES_tradnl"/>
        </w:rPr>
      </w:pPr>
      <w:hyperlink w:anchor="_Toc115248219" w:history="1">
        <w:r w:rsidR="000A4485" w:rsidRPr="00640A17">
          <w:rPr>
            <w:rStyle w:val="Hipervnculo"/>
            <w:noProof/>
          </w:rPr>
          <w:t>3.</w:t>
        </w:r>
        <w:r w:rsidR="000A4485">
          <w:rPr>
            <w:rFonts w:asciiTheme="minorHAnsi" w:eastAsiaTheme="minorEastAsia" w:hAnsiTheme="minorHAnsi"/>
            <w:noProof/>
            <w:sz w:val="24"/>
            <w:lang w:eastAsia="es-ES_tradnl"/>
          </w:rPr>
          <w:tab/>
        </w:r>
        <w:r w:rsidR="000A4485" w:rsidRPr="00640A17">
          <w:rPr>
            <w:rStyle w:val="Hipervnculo"/>
            <w:noProof/>
          </w:rPr>
          <w:t>Viabilidad económica de la actuación</w:t>
        </w:r>
        <w:r w:rsidR="000A4485">
          <w:rPr>
            <w:noProof/>
            <w:webHidden/>
          </w:rPr>
          <w:tab/>
        </w:r>
        <w:r w:rsidR="000A4485">
          <w:rPr>
            <w:noProof/>
            <w:webHidden/>
          </w:rPr>
          <w:fldChar w:fldCharType="begin"/>
        </w:r>
        <w:r w:rsidR="000A4485">
          <w:rPr>
            <w:noProof/>
            <w:webHidden/>
          </w:rPr>
          <w:instrText xml:space="preserve"> PAGEREF _Toc115248219 \h </w:instrText>
        </w:r>
        <w:r w:rsidR="000A4485">
          <w:rPr>
            <w:noProof/>
            <w:webHidden/>
          </w:rPr>
        </w:r>
        <w:r w:rsidR="000A4485">
          <w:rPr>
            <w:noProof/>
            <w:webHidden/>
          </w:rPr>
          <w:fldChar w:fldCharType="separate"/>
        </w:r>
        <w:r w:rsidR="000A4485">
          <w:rPr>
            <w:noProof/>
            <w:webHidden/>
          </w:rPr>
          <w:t>14</w:t>
        </w:r>
        <w:r w:rsidR="000A4485">
          <w:rPr>
            <w:noProof/>
            <w:webHidden/>
          </w:rPr>
          <w:fldChar w:fldCharType="end"/>
        </w:r>
      </w:hyperlink>
    </w:p>
    <w:p w14:paraId="4090C579" w14:textId="60F4CA76" w:rsidR="004403F2" w:rsidRPr="00166EB4" w:rsidRDefault="000A4485" w:rsidP="00166EB4">
      <w:pPr>
        <w:ind w:left="567" w:hanging="851"/>
        <w:rPr>
          <w:rFonts w:ascii="Verdana" w:hAnsi="Verdana"/>
          <w:color w:val="2F5496" w:themeColor="accent1" w:themeShade="BF"/>
          <w:sz w:val="28"/>
          <w:szCs w:val="28"/>
        </w:rPr>
      </w:pPr>
      <w:r>
        <w:rPr>
          <w:rFonts w:ascii="Verdana" w:hAnsi="Verdana"/>
          <w:color w:val="2F5496" w:themeColor="accent1" w:themeShade="BF"/>
          <w:sz w:val="28"/>
          <w:szCs w:val="28"/>
        </w:rPr>
        <w:fldChar w:fldCharType="end"/>
      </w:r>
      <w:r w:rsidR="004403F2" w:rsidRPr="00166EB4">
        <w:rPr>
          <w:rFonts w:ascii="Verdana" w:hAnsi="Verdana"/>
          <w:color w:val="2F5496" w:themeColor="accent1" w:themeShade="BF"/>
          <w:sz w:val="28"/>
          <w:szCs w:val="28"/>
        </w:rPr>
        <w:br w:type="page"/>
      </w:r>
    </w:p>
    <w:p w14:paraId="21BC04BF" w14:textId="0DB409B6" w:rsidR="00E87BE0" w:rsidRPr="000A4485" w:rsidRDefault="00E208A9" w:rsidP="000A4485">
      <w:pPr>
        <w:pStyle w:val="Ttulo1"/>
      </w:pPr>
      <w:bookmarkStart w:id="0" w:name="_Toc115248212"/>
      <w:r w:rsidRPr="000A4485">
        <w:lastRenderedPageBreak/>
        <w:t>A</w:t>
      </w:r>
      <w:r w:rsidR="00D019F9" w:rsidRPr="000A4485">
        <w:t>juste</w:t>
      </w:r>
      <w:r w:rsidR="0069013A" w:rsidRPr="000A4485">
        <w:t>s</w:t>
      </w:r>
      <w:r w:rsidR="00D019F9" w:rsidRPr="000A4485">
        <w:t xml:space="preserve"> razonable</w:t>
      </w:r>
      <w:r w:rsidR="0069013A" w:rsidRPr="000A4485">
        <w:t>s</w:t>
      </w:r>
      <w:r w:rsidR="00D019F9" w:rsidRPr="000A4485">
        <w:t xml:space="preserve"> y a</w:t>
      </w:r>
      <w:r w:rsidRPr="000A4485">
        <w:t>decuación efectiva</w:t>
      </w:r>
      <w:bookmarkEnd w:id="0"/>
    </w:p>
    <w:p w14:paraId="3A8203FC" w14:textId="4D990821" w:rsidR="00C27D3E" w:rsidRPr="00E77CC8" w:rsidRDefault="00D019F9" w:rsidP="00B430AC">
      <w:pPr>
        <w:pStyle w:val="Ttulo3"/>
        <w:spacing w:before="480" w:after="240"/>
        <w:ind w:left="425" w:hanging="425"/>
      </w:pPr>
      <w:bookmarkStart w:id="1" w:name="_Toc115248213"/>
      <w:r w:rsidRPr="00E77CC8">
        <w:t>Ajuste</w:t>
      </w:r>
      <w:r w:rsidR="0069013A">
        <w:t>s</w:t>
      </w:r>
      <w:r w:rsidRPr="00E77CC8">
        <w:t xml:space="preserve"> razonable</w:t>
      </w:r>
      <w:r w:rsidR="0069013A">
        <w:t>s</w:t>
      </w:r>
      <w:bookmarkEnd w:id="1"/>
    </w:p>
    <w:p w14:paraId="73DEFAB5" w14:textId="3DBBA245" w:rsidR="00D019F9" w:rsidRPr="00F359D5" w:rsidRDefault="00D019F9" w:rsidP="00D019F9">
      <w:pPr>
        <w:spacing w:line="276" w:lineRule="auto"/>
        <w:ind w:left="0" w:firstLine="0"/>
        <w:rPr>
          <w:rFonts w:ascii="Verdana" w:eastAsia="Verdana" w:hAnsi="Verdana" w:cs="Verdana"/>
          <w:sz w:val="22"/>
          <w:szCs w:val="22"/>
        </w:rPr>
      </w:pPr>
      <w:r w:rsidRPr="00F359D5">
        <w:rPr>
          <w:rFonts w:ascii="Verdana" w:eastAsia="Verdana" w:hAnsi="Verdana" w:cs="Verdana"/>
          <w:sz w:val="22"/>
          <w:szCs w:val="22"/>
        </w:rPr>
        <w:t xml:space="preserve">En este manual se han expuesto distintas pautas de diseño que permiten alcanzar el </w:t>
      </w:r>
      <w:r w:rsidRPr="00F359D5">
        <w:rPr>
          <w:rFonts w:ascii="Verdana" w:eastAsia="Verdana" w:hAnsi="Verdana" w:cs="Verdana"/>
          <w:b/>
          <w:sz w:val="22"/>
          <w:szCs w:val="22"/>
        </w:rPr>
        <w:t>nivel de accesibilidad establecido</w:t>
      </w:r>
      <w:r w:rsidRPr="00F359D5">
        <w:rPr>
          <w:rFonts w:ascii="Verdana" w:eastAsia="Verdana" w:hAnsi="Verdana" w:cs="Verdana"/>
          <w:sz w:val="22"/>
          <w:szCs w:val="22"/>
        </w:rPr>
        <w:t xml:space="preserve"> por la vigente normativa para espacios públicos urbanizados.</w:t>
      </w:r>
    </w:p>
    <w:p w14:paraId="4C44D64F" w14:textId="77777777" w:rsidR="00D019F9" w:rsidRPr="00F359D5" w:rsidRDefault="00D019F9" w:rsidP="00D019F9">
      <w:pPr>
        <w:spacing w:line="276" w:lineRule="auto"/>
        <w:ind w:left="0" w:firstLine="0"/>
        <w:rPr>
          <w:rFonts w:ascii="Verdana" w:eastAsia="Verdana" w:hAnsi="Verdana" w:cs="Verdana"/>
          <w:sz w:val="22"/>
          <w:szCs w:val="22"/>
        </w:rPr>
      </w:pPr>
      <w:r w:rsidRPr="00F359D5">
        <w:rPr>
          <w:rFonts w:ascii="Verdana" w:eastAsia="Verdana" w:hAnsi="Verdana" w:cs="Verdana"/>
          <w:sz w:val="22"/>
          <w:szCs w:val="22"/>
        </w:rPr>
        <w:t xml:space="preserve">Pero un entorno urbano que es capaz de aplicar esas pautas de diseño y parámetros normativos </w:t>
      </w:r>
      <w:r w:rsidRPr="00F359D5">
        <w:rPr>
          <w:rFonts w:ascii="Verdana" w:eastAsia="Verdana" w:hAnsi="Verdana" w:cs="Verdana"/>
          <w:b/>
          <w:sz w:val="22"/>
          <w:szCs w:val="22"/>
        </w:rPr>
        <w:t>cumpliendo los textos reglamentarios,</w:t>
      </w:r>
      <w:r w:rsidRPr="00F359D5">
        <w:rPr>
          <w:rFonts w:ascii="Verdana" w:eastAsia="Verdana" w:hAnsi="Verdana" w:cs="Verdana"/>
          <w:sz w:val="22"/>
          <w:szCs w:val="22"/>
        </w:rPr>
        <w:t xml:space="preserve"> ¿tiene que plantearse la eficacia de sus reformas?</w:t>
      </w:r>
    </w:p>
    <w:p w14:paraId="07DE658D" w14:textId="77777777" w:rsidR="00D019F9" w:rsidRPr="00F359D5" w:rsidRDefault="00D019F9" w:rsidP="00D019F9">
      <w:pPr>
        <w:spacing w:line="276" w:lineRule="auto"/>
        <w:ind w:left="0" w:firstLine="0"/>
        <w:rPr>
          <w:rFonts w:ascii="Verdana" w:eastAsia="Verdana" w:hAnsi="Verdana" w:cs="Verdana"/>
          <w:sz w:val="22"/>
          <w:szCs w:val="22"/>
        </w:rPr>
      </w:pPr>
      <w:r w:rsidRPr="00F359D5">
        <w:rPr>
          <w:rFonts w:ascii="Verdana" w:eastAsia="Verdana" w:hAnsi="Verdana" w:cs="Verdana"/>
          <w:sz w:val="22"/>
          <w:szCs w:val="22"/>
        </w:rPr>
        <w:t>Pueden hacerse estas consideraciones:</w:t>
      </w:r>
    </w:p>
    <w:p w14:paraId="7FA3745C" w14:textId="77777777" w:rsidR="00F359D5" w:rsidRPr="00F359D5" w:rsidRDefault="00D019F9" w:rsidP="00F359D5">
      <w:pPr>
        <w:pStyle w:val="Prrafodelista"/>
        <w:numPr>
          <w:ilvl w:val="0"/>
          <w:numId w:val="6"/>
        </w:numPr>
        <w:spacing w:before="0" w:after="0" w:line="276" w:lineRule="auto"/>
        <w:rPr>
          <w:rFonts w:ascii="Verdana" w:eastAsia="Verdana" w:hAnsi="Verdana" w:cs="Verdana"/>
          <w:sz w:val="22"/>
          <w:szCs w:val="22"/>
        </w:rPr>
      </w:pPr>
      <w:r w:rsidRPr="00F359D5">
        <w:rPr>
          <w:rFonts w:ascii="Verdana" w:eastAsia="Verdana" w:hAnsi="Verdana" w:cs="Verdana"/>
          <w:sz w:val="22"/>
          <w:szCs w:val="22"/>
        </w:rPr>
        <w:t xml:space="preserve">¿Cuál es el </w:t>
      </w:r>
      <w:r w:rsidRPr="00F359D5">
        <w:rPr>
          <w:rFonts w:ascii="Verdana" w:eastAsia="Verdana" w:hAnsi="Verdana" w:cs="Verdana"/>
          <w:b/>
          <w:sz w:val="22"/>
          <w:szCs w:val="22"/>
        </w:rPr>
        <w:t>alcance efectivo</w:t>
      </w:r>
      <w:r w:rsidRPr="00F359D5">
        <w:rPr>
          <w:rFonts w:ascii="Verdana" w:eastAsia="Verdana" w:hAnsi="Verdana" w:cs="Verdana"/>
          <w:sz w:val="22"/>
          <w:szCs w:val="22"/>
        </w:rPr>
        <w:t xml:space="preserve"> de aplicar los parámetros normativos?, ¿con ello se da respuesta a todas las situaciones personales que pudieran plantearse?</w:t>
      </w:r>
    </w:p>
    <w:p w14:paraId="4BD99C0A" w14:textId="340A1658" w:rsidR="00D019F9" w:rsidRPr="00F359D5" w:rsidRDefault="00D019F9" w:rsidP="00F359D5">
      <w:pPr>
        <w:pStyle w:val="Prrafodelista"/>
        <w:numPr>
          <w:ilvl w:val="0"/>
          <w:numId w:val="6"/>
        </w:numPr>
        <w:spacing w:before="0" w:after="0" w:line="276" w:lineRule="auto"/>
        <w:rPr>
          <w:rFonts w:ascii="Verdana" w:eastAsia="Verdana" w:hAnsi="Verdana" w:cs="Verdana"/>
          <w:sz w:val="22"/>
          <w:szCs w:val="22"/>
        </w:rPr>
      </w:pPr>
      <w:r w:rsidRPr="00F359D5">
        <w:rPr>
          <w:rFonts w:ascii="Verdana" w:eastAsia="Verdana" w:hAnsi="Verdana" w:cs="Verdana"/>
          <w:sz w:val="22"/>
          <w:szCs w:val="22"/>
        </w:rPr>
        <w:t xml:space="preserve">¿Cómo actuar cuando hay que tomar </w:t>
      </w:r>
      <w:r w:rsidRPr="00F359D5">
        <w:rPr>
          <w:rFonts w:ascii="Verdana" w:eastAsia="Verdana" w:hAnsi="Verdana" w:cs="Verdana"/>
          <w:b/>
          <w:sz w:val="22"/>
          <w:szCs w:val="22"/>
        </w:rPr>
        <w:t>soluciones alternativas</w:t>
      </w:r>
      <w:r w:rsidRPr="00F359D5">
        <w:rPr>
          <w:rFonts w:ascii="Verdana" w:eastAsia="Verdana" w:hAnsi="Verdana" w:cs="Verdana"/>
          <w:sz w:val="22"/>
          <w:szCs w:val="22"/>
        </w:rPr>
        <w:t xml:space="preserve"> (frecuentemente impuestas por el entorno preexistente) para garantizar un mínimo funcional que permita el máximo grado de accesibilidad posible?</w:t>
      </w:r>
    </w:p>
    <w:p w14:paraId="7643FEF3" w14:textId="77777777" w:rsidR="00D019F9" w:rsidRPr="00F359D5" w:rsidRDefault="00D019F9" w:rsidP="00D019F9">
      <w:pPr>
        <w:spacing w:line="276" w:lineRule="auto"/>
        <w:ind w:left="0" w:firstLine="0"/>
        <w:rPr>
          <w:rFonts w:ascii="Verdana" w:eastAsia="Verdana" w:hAnsi="Verdana" w:cs="Verdana"/>
          <w:sz w:val="22"/>
          <w:szCs w:val="22"/>
        </w:rPr>
      </w:pPr>
      <w:r w:rsidRPr="00F359D5">
        <w:rPr>
          <w:rFonts w:ascii="Verdana" w:eastAsia="Verdana" w:hAnsi="Verdana" w:cs="Verdana"/>
          <w:sz w:val="22"/>
          <w:szCs w:val="22"/>
        </w:rPr>
        <w:t>Para responder a estas cuestiones es pertinente hablar de ajustes razonables.</w:t>
      </w:r>
    </w:p>
    <w:p w14:paraId="3E474A5D" w14:textId="77777777" w:rsidR="008F24B3" w:rsidRDefault="008F24B3" w:rsidP="008F24B3">
      <w:pPr>
        <w:ind w:left="0" w:firstLine="0"/>
        <w:jc w:val="both"/>
        <w:rPr>
          <w:rFonts w:ascii="Verdana" w:eastAsia="Verdana" w:hAnsi="Verdana" w:cs="Verdana"/>
          <w:b/>
          <w:sz w:val="22"/>
          <w:szCs w:val="22"/>
        </w:rPr>
      </w:pPr>
    </w:p>
    <w:p w14:paraId="5B371094" w14:textId="521D04A0" w:rsidR="008F24B3" w:rsidRPr="00B153D5" w:rsidRDefault="008F24B3" w:rsidP="00B153D5">
      <w:pPr>
        <w:pStyle w:val="Prrafodelista"/>
        <w:numPr>
          <w:ilvl w:val="0"/>
          <w:numId w:val="10"/>
        </w:numPr>
        <w:jc w:val="both"/>
        <w:rPr>
          <w:rFonts w:ascii="Verdana" w:eastAsia="Verdana" w:hAnsi="Verdana" w:cs="Verdana"/>
          <w:b/>
          <w:sz w:val="22"/>
          <w:szCs w:val="22"/>
        </w:rPr>
      </w:pPr>
      <w:r w:rsidRPr="00B153D5">
        <w:rPr>
          <w:rFonts w:ascii="Verdana" w:eastAsia="Verdana" w:hAnsi="Verdana" w:cs="Verdana"/>
          <w:b/>
          <w:sz w:val="22"/>
          <w:szCs w:val="22"/>
        </w:rPr>
        <w:t>¿Qué es un ajuste razonable?</w:t>
      </w:r>
    </w:p>
    <w:p w14:paraId="3DF27347" w14:textId="77777777" w:rsidR="008F24B3" w:rsidRPr="008F24B3" w:rsidRDefault="008F24B3" w:rsidP="008F24B3">
      <w:pPr>
        <w:spacing w:before="0" w:after="160" w:line="276" w:lineRule="auto"/>
        <w:ind w:left="0" w:firstLine="0"/>
        <w:rPr>
          <w:rFonts w:ascii="Verdana" w:eastAsia="Verdana" w:hAnsi="Verdana" w:cs="Verdana"/>
          <w:sz w:val="22"/>
          <w:szCs w:val="22"/>
          <w:lang w:val="es-ES_tradnl"/>
        </w:rPr>
      </w:pPr>
      <w:r w:rsidRPr="008F24B3">
        <w:rPr>
          <w:rFonts w:ascii="Verdana" w:eastAsia="Verdana" w:hAnsi="Verdana" w:cs="Verdana"/>
          <w:sz w:val="22"/>
          <w:szCs w:val="22"/>
          <w:lang w:val="es-ES_tradnl"/>
        </w:rPr>
        <w:t>El concepto de “ajuste razonable” proviene de la traducción del original en inglés “</w:t>
      </w:r>
      <w:proofErr w:type="spellStart"/>
      <w:r w:rsidRPr="009A654F">
        <w:rPr>
          <w:rFonts w:ascii="Verdana" w:eastAsia="Verdana" w:hAnsi="Verdana" w:cs="Verdana"/>
          <w:i/>
          <w:iCs/>
          <w:sz w:val="22"/>
          <w:szCs w:val="22"/>
          <w:lang w:val="es-ES_tradnl"/>
        </w:rPr>
        <w:t>reasonable</w:t>
      </w:r>
      <w:proofErr w:type="spellEnd"/>
      <w:r w:rsidRPr="009A654F">
        <w:rPr>
          <w:rFonts w:ascii="Verdana" w:eastAsia="Verdana" w:hAnsi="Verdana" w:cs="Verdana"/>
          <w:i/>
          <w:iCs/>
          <w:sz w:val="22"/>
          <w:szCs w:val="22"/>
          <w:lang w:val="es-ES_tradnl"/>
        </w:rPr>
        <w:t xml:space="preserve"> </w:t>
      </w:r>
      <w:proofErr w:type="spellStart"/>
      <w:r w:rsidRPr="009A654F">
        <w:rPr>
          <w:rFonts w:ascii="Verdana" w:eastAsia="Verdana" w:hAnsi="Verdana" w:cs="Verdana"/>
          <w:i/>
          <w:iCs/>
          <w:sz w:val="22"/>
          <w:szCs w:val="22"/>
          <w:lang w:val="es-ES_tradnl"/>
        </w:rPr>
        <w:t>accommodation</w:t>
      </w:r>
      <w:proofErr w:type="spellEnd"/>
      <w:r w:rsidRPr="008F24B3">
        <w:rPr>
          <w:rFonts w:ascii="Verdana" w:eastAsia="Verdana" w:hAnsi="Verdana" w:cs="Verdana"/>
          <w:sz w:val="22"/>
          <w:szCs w:val="22"/>
          <w:lang w:val="es-ES_tradnl"/>
        </w:rPr>
        <w:t>” cuya definición se establece en la Convención Internacional sobre los Derechos de las Personas con Discapacidad, aprobada por la Asamblea General de las Naciones Unidas el 13 de diciembre de 2006.</w:t>
      </w:r>
    </w:p>
    <w:p w14:paraId="193D32A7" w14:textId="751BBE6D" w:rsidR="008F24B3" w:rsidRPr="008F24B3" w:rsidRDefault="008F24B3" w:rsidP="00F16436">
      <w:pPr>
        <w:spacing w:before="0" w:after="160" w:line="276" w:lineRule="auto"/>
        <w:ind w:left="993" w:firstLine="0"/>
        <w:rPr>
          <w:rFonts w:ascii="Verdana" w:eastAsia="Verdana" w:hAnsi="Verdana" w:cs="Verdana"/>
          <w:sz w:val="22"/>
          <w:szCs w:val="22"/>
          <w:lang w:val="es-ES_tradnl"/>
        </w:rPr>
      </w:pPr>
      <w:r w:rsidRPr="008F24B3">
        <w:rPr>
          <w:rFonts w:ascii="Verdana" w:eastAsia="Verdana" w:hAnsi="Verdana" w:cs="Verdana"/>
          <w:noProof/>
          <w:sz w:val="22"/>
          <w:szCs w:val="22"/>
          <w:lang w:val="es-ES_tradnl"/>
        </w:rPr>
        <w:drawing>
          <wp:anchor distT="0" distB="0" distL="114300" distR="114300" simplePos="0" relativeHeight="251674624" behindDoc="0" locked="0" layoutInCell="1" hidden="0" allowOverlap="1" wp14:anchorId="43F8F21A" wp14:editId="12050644">
            <wp:simplePos x="0" y="0"/>
            <wp:positionH relativeFrom="column">
              <wp:posOffset>31722</wp:posOffset>
            </wp:positionH>
            <wp:positionV relativeFrom="paragraph">
              <wp:posOffset>233680</wp:posOffset>
            </wp:positionV>
            <wp:extent cx="427990" cy="417830"/>
            <wp:effectExtent l="0" t="0" r="0" b="0"/>
            <wp:wrapSquare wrapText="bothSides" distT="0" distB="0" distL="114300" distR="114300"/>
            <wp:docPr id="27" name="image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image5.jp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427990" cy="417830"/>
                    </a:xfrm>
                    <a:prstGeom prst="rect">
                      <a:avLst/>
                    </a:prstGeom>
                    <a:ln/>
                  </pic:spPr>
                </pic:pic>
              </a:graphicData>
            </a:graphic>
          </wp:anchor>
        </w:drawing>
      </w:r>
      <w:r w:rsidRPr="008F24B3">
        <w:rPr>
          <w:rFonts w:ascii="Verdana" w:eastAsia="Verdana" w:hAnsi="Verdana" w:cs="Verdana"/>
          <w:sz w:val="22"/>
          <w:szCs w:val="22"/>
          <w:lang w:val="es-ES_tradnl"/>
        </w:rPr>
        <w:t>La legislación española adopta el concepto de ajuste razonable y lo describe (en el artículo 2 apartado m) del Real Decreto Legislativo 1/2013, de 29 de noviembre, por el que se aprueba el Texto Refundido de la Ley General de derechos de las personas con discapacidad y de su inclusión social, según el siguiente literal:</w:t>
      </w:r>
    </w:p>
    <w:p w14:paraId="5BCCEB8F" w14:textId="77777777" w:rsidR="008F24B3" w:rsidRPr="008F24B3" w:rsidRDefault="008F24B3" w:rsidP="008F24B3">
      <w:pPr>
        <w:spacing w:before="0" w:after="160" w:line="276" w:lineRule="auto"/>
        <w:ind w:left="0" w:firstLine="0"/>
        <w:rPr>
          <w:rFonts w:ascii="Verdana" w:eastAsia="Verdana" w:hAnsi="Verdana" w:cs="Verdana"/>
          <w:sz w:val="22"/>
          <w:szCs w:val="22"/>
          <w:lang w:val="es-ES_tradnl"/>
        </w:rPr>
      </w:pPr>
      <w:r w:rsidRPr="008F24B3">
        <w:rPr>
          <w:rFonts w:ascii="Verdana" w:eastAsia="Verdana" w:hAnsi="Verdana" w:cs="Verdana"/>
          <w:sz w:val="22"/>
          <w:szCs w:val="22"/>
          <w:lang w:val="es-ES_tradnl"/>
        </w:rPr>
        <w:t>“Ajustes razonables son las modificaciones y adaptaciones necesarias y adecuadas del ambiente físico, social y actitudinal a las necesidades específicas de las personas con discapacidad que no impongan una carga desproporcionada o indebida, cuando se requieran en un caso particular de manera eficaz y práctica, para facilitar la accesibilidad y la participación y para garantizar a las personas con discapacidad el goce o ejercicio, en igualdad de condiciones con las demás, de todos los derechos”.</w:t>
      </w:r>
    </w:p>
    <w:p w14:paraId="5F75C44F" w14:textId="77777777" w:rsidR="008F24B3" w:rsidRPr="008F24B3" w:rsidRDefault="008F24B3" w:rsidP="008F24B3">
      <w:pPr>
        <w:spacing w:before="0" w:after="160" w:line="276" w:lineRule="auto"/>
        <w:ind w:left="0" w:firstLine="0"/>
        <w:rPr>
          <w:rFonts w:ascii="Verdana" w:eastAsia="Verdana" w:hAnsi="Verdana" w:cs="Verdana"/>
          <w:sz w:val="22"/>
          <w:szCs w:val="22"/>
          <w:lang w:val="es-ES_tradnl"/>
        </w:rPr>
      </w:pPr>
      <w:r w:rsidRPr="008F24B3">
        <w:rPr>
          <w:rFonts w:ascii="Verdana" w:eastAsia="Verdana" w:hAnsi="Verdana" w:cs="Verdana"/>
          <w:sz w:val="22"/>
          <w:szCs w:val="22"/>
          <w:lang w:val="es-ES_tradnl"/>
        </w:rPr>
        <w:t xml:space="preserve">Los ajustes razonables, en el marco del entorno urbanizado, serían las adaptaciones que fuera preciso realizar para que todas las personas pudieran utilizar dicho entorno de forma satisfactoria. Se trata, por tanto, de un </w:t>
      </w:r>
      <w:r w:rsidRPr="008F24B3">
        <w:rPr>
          <w:rFonts w:ascii="Verdana" w:eastAsia="Verdana" w:hAnsi="Verdana" w:cs="Verdana"/>
          <w:b/>
          <w:sz w:val="22"/>
          <w:szCs w:val="22"/>
          <w:lang w:val="es-ES_tradnl"/>
        </w:rPr>
        <w:t xml:space="preserve">derecho </w:t>
      </w:r>
      <w:r w:rsidRPr="008F24B3">
        <w:rPr>
          <w:rFonts w:ascii="Verdana" w:eastAsia="Verdana" w:hAnsi="Verdana" w:cs="Verdana"/>
          <w:b/>
          <w:sz w:val="22"/>
          <w:szCs w:val="22"/>
          <w:lang w:val="es-ES_tradnl"/>
        </w:rPr>
        <w:lastRenderedPageBreak/>
        <w:t>exigible</w:t>
      </w:r>
      <w:r w:rsidRPr="008F24B3">
        <w:rPr>
          <w:rFonts w:ascii="Verdana" w:eastAsia="Verdana" w:hAnsi="Verdana" w:cs="Verdana"/>
          <w:sz w:val="22"/>
          <w:szCs w:val="22"/>
          <w:lang w:val="es-ES_tradnl"/>
        </w:rPr>
        <w:t>. Pero ¿para qué realizar un ajuste razonable? y ¿qué significa “razonable”?</w:t>
      </w:r>
    </w:p>
    <w:p w14:paraId="61E045B4" w14:textId="7884AD69" w:rsidR="00D019F9" w:rsidRDefault="008F24B3" w:rsidP="00D019F9">
      <w:pPr>
        <w:ind w:left="0" w:firstLine="0"/>
        <w:rPr>
          <w:lang w:val="es-ES_tradnl"/>
        </w:rPr>
      </w:pPr>
      <w:r>
        <w:rPr>
          <w:rFonts w:ascii="Verdana" w:eastAsia="Verdana" w:hAnsi="Verdana" w:cs="Verdana"/>
          <w:noProof/>
          <w:sz w:val="18"/>
          <w:szCs w:val="18"/>
        </w:rPr>
        <w:drawing>
          <wp:inline distT="0" distB="0" distL="0" distR="0" wp14:anchorId="2596ED29" wp14:editId="792306E0">
            <wp:extent cx="5763895" cy="494665"/>
            <wp:effectExtent l="0" t="0" r="0" b="0"/>
            <wp:docPr id="30"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 name="image2.jp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5763895" cy="494665"/>
                    </a:xfrm>
                    <a:prstGeom prst="rect">
                      <a:avLst/>
                    </a:prstGeom>
                    <a:ln/>
                  </pic:spPr>
                </pic:pic>
              </a:graphicData>
            </a:graphic>
          </wp:inline>
        </w:drawing>
      </w:r>
    </w:p>
    <w:p w14:paraId="018CF43B" w14:textId="77777777" w:rsidR="001729EF" w:rsidRPr="001729EF" w:rsidRDefault="001729EF" w:rsidP="001729EF">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11A0267E" w14:textId="755C2906" w:rsidR="001729EF" w:rsidRDefault="001729EF" w:rsidP="00B153D5">
      <w:pPr>
        <w:pStyle w:val="Citadestacada"/>
      </w:pPr>
      <w:r w:rsidRPr="00B153D5">
        <w:t>Si el ajuste reclamado es razonable, por no suponer una carga desproporcionada o indebida, se convierte en obligatorio. Su finalidad es evitar la discriminación por motivos de discapacidad hacia esa persona. Por tanto, se llevará a cabo la adaptación pertinente para conseguir el ajuste razonable propuesto.</w:t>
      </w:r>
    </w:p>
    <w:p w14:paraId="6B9ECB61" w14:textId="77777777" w:rsidR="00B153D5" w:rsidRPr="00B153D5" w:rsidRDefault="00B153D5" w:rsidP="00B153D5"/>
    <w:p w14:paraId="36CF4855" w14:textId="77777777" w:rsidR="00B153D5" w:rsidRPr="00B153D5" w:rsidRDefault="00B153D5" w:rsidP="00B153D5">
      <w:pPr>
        <w:pStyle w:val="Prrafodelista"/>
        <w:numPr>
          <w:ilvl w:val="0"/>
          <w:numId w:val="10"/>
        </w:numPr>
        <w:spacing w:before="0" w:after="160" w:line="276" w:lineRule="auto"/>
        <w:rPr>
          <w:rFonts w:ascii="Verdana" w:eastAsia="Verdana" w:hAnsi="Verdana" w:cs="Verdana"/>
          <w:b/>
          <w:sz w:val="22"/>
          <w:szCs w:val="22"/>
          <w:lang w:val="es-ES_tradnl"/>
        </w:rPr>
      </w:pPr>
      <w:r w:rsidRPr="00B153D5">
        <w:rPr>
          <w:rFonts w:ascii="Verdana" w:eastAsia="Verdana" w:hAnsi="Verdana" w:cs="Verdana"/>
          <w:b/>
          <w:sz w:val="22"/>
          <w:szCs w:val="22"/>
          <w:lang w:val="es-ES_tradnl"/>
        </w:rPr>
        <w:t>¿Para qué realizar un ajuste razonable?</w:t>
      </w:r>
    </w:p>
    <w:p w14:paraId="4916C10A" w14:textId="77777777" w:rsidR="00B153D5" w:rsidRPr="00B153D5" w:rsidRDefault="00B153D5" w:rsidP="00B153D5">
      <w:pPr>
        <w:spacing w:before="0" w:after="160" w:line="276" w:lineRule="auto"/>
        <w:ind w:left="0" w:firstLine="0"/>
        <w:rPr>
          <w:rFonts w:ascii="Verdana" w:eastAsia="Verdana" w:hAnsi="Verdana" w:cs="Verdana"/>
          <w:sz w:val="22"/>
          <w:szCs w:val="22"/>
          <w:lang w:val="es-ES_tradnl"/>
        </w:rPr>
      </w:pPr>
      <w:r w:rsidRPr="00B153D5">
        <w:rPr>
          <w:rFonts w:ascii="Verdana" w:eastAsia="Verdana" w:hAnsi="Verdana" w:cs="Verdana"/>
          <w:sz w:val="22"/>
          <w:szCs w:val="22"/>
          <w:lang w:val="es-ES_tradnl"/>
        </w:rPr>
        <w:t>El objetivo fundamental de adaptar un entorno a las necesidades de las personas es garantizar el uso de dicho entorno a todas ellas (teniendo en cuenta su diversidad). Así, ninguna persona podría ser discriminada en ese uso por razones de sus características propias. El ajuste razonable debe ser, además, necesario y adecuado.</w:t>
      </w:r>
    </w:p>
    <w:p w14:paraId="08F88683" w14:textId="77777777" w:rsidR="00B153D5" w:rsidRPr="00B153D5" w:rsidRDefault="00B153D5" w:rsidP="00B153D5">
      <w:pPr>
        <w:spacing w:before="0" w:after="160" w:line="276" w:lineRule="auto"/>
        <w:ind w:left="0" w:firstLine="0"/>
        <w:rPr>
          <w:rFonts w:ascii="Verdana" w:eastAsia="Verdana" w:hAnsi="Verdana" w:cs="Verdana"/>
          <w:sz w:val="22"/>
          <w:szCs w:val="22"/>
          <w:lang w:val="es-ES_tradnl"/>
        </w:rPr>
      </w:pPr>
    </w:p>
    <w:p w14:paraId="414CF5F4" w14:textId="77777777" w:rsidR="00B153D5" w:rsidRPr="00B153D5" w:rsidRDefault="00B153D5" w:rsidP="00B153D5">
      <w:pPr>
        <w:pStyle w:val="Prrafodelista"/>
        <w:numPr>
          <w:ilvl w:val="0"/>
          <w:numId w:val="10"/>
        </w:numPr>
        <w:spacing w:before="0" w:after="160" w:line="276" w:lineRule="auto"/>
        <w:rPr>
          <w:rFonts w:ascii="Verdana" w:eastAsia="Verdana" w:hAnsi="Verdana" w:cs="Verdana"/>
          <w:b/>
          <w:sz w:val="22"/>
          <w:szCs w:val="22"/>
          <w:lang w:val="es-ES_tradnl"/>
        </w:rPr>
      </w:pPr>
      <w:r w:rsidRPr="00B153D5">
        <w:rPr>
          <w:rFonts w:ascii="Verdana" w:eastAsia="Verdana" w:hAnsi="Verdana" w:cs="Verdana"/>
          <w:b/>
          <w:sz w:val="22"/>
          <w:szCs w:val="22"/>
          <w:lang w:val="es-ES_tradnl"/>
        </w:rPr>
        <w:t>¿Qué significa razonable?</w:t>
      </w:r>
    </w:p>
    <w:p w14:paraId="40846B7B" w14:textId="77777777" w:rsidR="00B153D5" w:rsidRPr="00B153D5" w:rsidRDefault="00B153D5" w:rsidP="00B153D5">
      <w:pPr>
        <w:spacing w:before="0" w:after="160" w:line="276" w:lineRule="auto"/>
        <w:ind w:left="0" w:firstLine="0"/>
        <w:rPr>
          <w:rFonts w:ascii="Verdana" w:eastAsia="Verdana" w:hAnsi="Verdana" w:cs="Verdana"/>
          <w:sz w:val="22"/>
          <w:szCs w:val="22"/>
          <w:lang w:val="es-ES_tradnl"/>
        </w:rPr>
      </w:pPr>
      <w:r w:rsidRPr="00B153D5">
        <w:rPr>
          <w:rFonts w:ascii="Verdana" w:eastAsia="Verdana" w:hAnsi="Verdana" w:cs="Verdana"/>
          <w:sz w:val="22"/>
          <w:szCs w:val="22"/>
          <w:lang w:val="es-ES_tradnl"/>
        </w:rPr>
        <w:t xml:space="preserve">El Diccionario de la RAE define razonable como “adecuado, conforme a razón, proporcionado o no exagerado”. Según la descripción legal antes citada, para que una adaptación o ajuste alcance la consideración de razonable (y con ello la obligatoriedad de su realización) debe cumplir dos </w:t>
      </w:r>
      <w:proofErr w:type="gramStart"/>
      <w:r w:rsidRPr="00B153D5">
        <w:rPr>
          <w:rFonts w:ascii="Verdana" w:eastAsia="Verdana" w:hAnsi="Verdana" w:cs="Verdana"/>
          <w:sz w:val="22"/>
          <w:szCs w:val="22"/>
          <w:lang w:val="es-ES_tradnl"/>
        </w:rPr>
        <w:t>requisitos imprescindibles</w:t>
      </w:r>
      <w:proofErr w:type="gramEnd"/>
      <w:r w:rsidRPr="00B153D5">
        <w:rPr>
          <w:rFonts w:ascii="Verdana" w:eastAsia="Verdana" w:hAnsi="Verdana" w:cs="Verdana"/>
          <w:sz w:val="22"/>
          <w:szCs w:val="22"/>
          <w:lang w:val="es-ES_tradnl"/>
        </w:rPr>
        <w:t xml:space="preserve"> e inseparables:</w:t>
      </w:r>
    </w:p>
    <w:p w14:paraId="331C1F5B" w14:textId="77777777" w:rsidR="00B153D5" w:rsidRPr="00B153D5" w:rsidRDefault="00B153D5" w:rsidP="00B153D5">
      <w:pPr>
        <w:numPr>
          <w:ilvl w:val="0"/>
          <w:numId w:val="9"/>
        </w:numPr>
        <w:spacing w:before="0" w:after="160" w:line="276" w:lineRule="auto"/>
        <w:rPr>
          <w:rFonts w:ascii="Verdana" w:eastAsia="Verdana" w:hAnsi="Verdana" w:cs="Verdana"/>
          <w:sz w:val="22"/>
          <w:szCs w:val="22"/>
          <w:lang w:val="es-ES_tradnl"/>
        </w:rPr>
      </w:pPr>
      <w:r w:rsidRPr="00B153D5">
        <w:rPr>
          <w:rFonts w:ascii="Verdana" w:eastAsia="Verdana" w:hAnsi="Verdana" w:cs="Verdana"/>
          <w:b/>
          <w:sz w:val="22"/>
          <w:szCs w:val="22"/>
          <w:lang w:val="es-ES_tradnl"/>
        </w:rPr>
        <w:t>Ser eficaz</w:t>
      </w:r>
      <w:r w:rsidRPr="00B153D5">
        <w:rPr>
          <w:rFonts w:ascii="Verdana" w:eastAsia="Verdana" w:hAnsi="Verdana" w:cs="Verdana"/>
          <w:sz w:val="22"/>
          <w:szCs w:val="22"/>
          <w:lang w:val="es-ES_tradnl"/>
        </w:rPr>
        <w:t xml:space="preserve"> y práctico para satisfacer las necesidades de las personas.</w:t>
      </w:r>
    </w:p>
    <w:p w14:paraId="58EBBF72" w14:textId="77777777" w:rsidR="00B153D5" w:rsidRPr="00B153D5" w:rsidRDefault="00B153D5" w:rsidP="00B153D5">
      <w:pPr>
        <w:numPr>
          <w:ilvl w:val="0"/>
          <w:numId w:val="9"/>
        </w:numPr>
        <w:spacing w:before="0" w:after="160" w:line="276" w:lineRule="auto"/>
        <w:rPr>
          <w:rFonts w:ascii="Verdana" w:eastAsia="Verdana" w:hAnsi="Verdana" w:cs="Verdana"/>
          <w:sz w:val="22"/>
          <w:szCs w:val="22"/>
          <w:lang w:val="es-ES_tradnl"/>
        </w:rPr>
      </w:pPr>
      <w:r w:rsidRPr="00B153D5">
        <w:rPr>
          <w:rFonts w:ascii="Verdana" w:eastAsia="Verdana" w:hAnsi="Verdana" w:cs="Verdana"/>
          <w:sz w:val="22"/>
          <w:szCs w:val="22"/>
          <w:lang w:val="es-ES_tradnl"/>
        </w:rPr>
        <w:t xml:space="preserve">Que el consumo de recursos necesarios para su implantación </w:t>
      </w:r>
      <w:r w:rsidRPr="00B153D5">
        <w:rPr>
          <w:rFonts w:ascii="Verdana" w:eastAsia="Verdana" w:hAnsi="Verdana" w:cs="Verdana"/>
          <w:b/>
          <w:sz w:val="22"/>
          <w:szCs w:val="22"/>
          <w:lang w:val="es-ES_tradnl"/>
        </w:rPr>
        <w:t>no sea desproporcionado.</w:t>
      </w:r>
    </w:p>
    <w:p w14:paraId="671C6D00" w14:textId="4E0AA66C" w:rsidR="00B153D5" w:rsidRDefault="00B153D5" w:rsidP="00B153D5">
      <w:pPr>
        <w:spacing w:before="0" w:after="160" w:line="276" w:lineRule="auto"/>
        <w:ind w:left="0" w:firstLine="0"/>
        <w:rPr>
          <w:rFonts w:ascii="Verdana" w:eastAsia="Verdana" w:hAnsi="Verdana" w:cs="Verdana"/>
          <w:sz w:val="22"/>
          <w:szCs w:val="22"/>
          <w:lang w:val="es-ES_tradnl"/>
        </w:rPr>
      </w:pPr>
      <w:r w:rsidRPr="00B153D5">
        <w:rPr>
          <w:rFonts w:ascii="Verdana" w:eastAsia="Verdana" w:hAnsi="Verdana" w:cs="Verdana"/>
          <w:sz w:val="22"/>
          <w:szCs w:val="22"/>
          <w:lang w:val="es-ES_tradnl"/>
        </w:rPr>
        <w:t>La indeterminación semántica (e incluso jurídica) de conceptos como “razonable” o “desproporcionado” dejan la puerta abierta a interpretaciones subjetivas. Sin embargo, cuando la adaptación del entorno es considerada razonable pasa a ser de obligada ejecución.</w:t>
      </w:r>
    </w:p>
    <w:p w14:paraId="099F64A4" w14:textId="42E48E2B" w:rsidR="00B5487E" w:rsidRDefault="00B5487E" w:rsidP="00B153D5">
      <w:pPr>
        <w:spacing w:before="0" w:after="160" w:line="276" w:lineRule="auto"/>
        <w:ind w:left="0" w:firstLine="0"/>
        <w:rPr>
          <w:rFonts w:ascii="Verdana" w:eastAsia="Verdana" w:hAnsi="Verdana" w:cs="Verdana"/>
          <w:sz w:val="22"/>
          <w:szCs w:val="22"/>
          <w:lang w:val="es-ES_tradnl"/>
        </w:rPr>
      </w:pPr>
    </w:p>
    <w:p w14:paraId="552ED000" w14:textId="7FEE7BAB" w:rsidR="00B5487E" w:rsidRDefault="00B5487E" w:rsidP="00B153D5">
      <w:pPr>
        <w:spacing w:before="0" w:after="160" w:line="276" w:lineRule="auto"/>
        <w:ind w:left="0" w:firstLine="0"/>
        <w:rPr>
          <w:rFonts w:ascii="Verdana" w:eastAsia="Verdana" w:hAnsi="Verdana" w:cs="Verdana"/>
          <w:sz w:val="22"/>
          <w:szCs w:val="22"/>
          <w:lang w:val="es-ES_tradnl"/>
        </w:rPr>
      </w:pPr>
    </w:p>
    <w:p w14:paraId="7B0B4FFF" w14:textId="77777777" w:rsidR="00B5487E" w:rsidRPr="00B153D5" w:rsidRDefault="00B5487E" w:rsidP="00B153D5">
      <w:pPr>
        <w:spacing w:before="0" w:after="160" w:line="276" w:lineRule="auto"/>
        <w:ind w:left="0" w:firstLine="0"/>
        <w:rPr>
          <w:rFonts w:ascii="Verdana" w:eastAsia="Verdana" w:hAnsi="Verdana" w:cs="Verdana"/>
          <w:sz w:val="22"/>
          <w:szCs w:val="22"/>
          <w:lang w:val="es-ES_tradnl"/>
        </w:rPr>
      </w:pPr>
    </w:p>
    <w:p w14:paraId="3E82349F" w14:textId="20769F09" w:rsidR="00B153D5" w:rsidRPr="00B153D5" w:rsidRDefault="00B153D5" w:rsidP="0031432B">
      <w:pPr>
        <w:pStyle w:val="Prrafodelista"/>
        <w:numPr>
          <w:ilvl w:val="1"/>
          <w:numId w:val="9"/>
        </w:numPr>
        <w:spacing w:before="0" w:after="160" w:line="276" w:lineRule="auto"/>
        <w:ind w:left="567"/>
        <w:rPr>
          <w:rFonts w:ascii="Verdana" w:eastAsia="Verdana" w:hAnsi="Verdana" w:cs="Verdana"/>
          <w:b/>
          <w:sz w:val="22"/>
          <w:szCs w:val="22"/>
          <w:lang w:val="es-ES_tradnl"/>
        </w:rPr>
      </w:pPr>
      <w:r>
        <w:rPr>
          <w:rFonts w:ascii="Verdana" w:eastAsia="Verdana" w:hAnsi="Verdana" w:cs="Verdana"/>
          <w:b/>
          <w:sz w:val="22"/>
          <w:szCs w:val="22"/>
          <w:lang w:val="es-ES_tradnl"/>
        </w:rPr>
        <w:lastRenderedPageBreak/>
        <w:t>Eficacia</w:t>
      </w:r>
    </w:p>
    <w:p w14:paraId="6AFC7741" w14:textId="5ED578A5" w:rsidR="00B153D5" w:rsidRPr="00B153D5" w:rsidRDefault="00B153D5" w:rsidP="00B153D5">
      <w:pPr>
        <w:spacing w:before="0" w:after="160" w:line="276" w:lineRule="auto"/>
        <w:ind w:left="0" w:firstLine="0"/>
        <w:rPr>
          <w:rFonts w:ascii="Verdana" w:eastAsia="Verdana" w:hAnsi="Verdana" w:cs="Verdana"/>
          <w:sz w:val="22"/>
          <w:szCs w:val="22"/>
          <w:lang w:val="es-ES_tradnl"/>
        </w:rPr>
      </w:pPr>
      <w:r w:rsidRPr="00B153D5">
        <w:rPr>
          <w:rFonts w:ascii="Verdana" w:eastAsia="Verdana" w:hAnsi="Verdana" w:cs="Verdana"/>
          <w:sz w:val="22"/>
          <w:szCs w:val="22"/>
          <w:lang w:val="es-ES_tradnl"/>
        </w:rPr>
        <w:t xml:space="preserve">El ajuste razonable del entorno, en función de las necesidades particulares de las personas con discapacidad, es </w:t>
      </w:r>
      <w:r w:rsidRPr="00B153D5">
        <w:rPr>
          <w:rFonts w:ascii="Verdana" w:eastAsia="Verdana" w:hAnsi="Verdana" w:cs="Verdana"/>
          <w:b/>
          <w:sz w:val="22"/>
          <w:szCs w:val="22"/>
          <w:lang w:val="es-ES_tradnl"/>
        </w:rPr>
        <w:t>un derecho que evita su discriminación</w:t>
      </w:r>
      <w:r w:rsidRPr="00B153D5">
        <w:rPr>
          <w:rFonts w:ascii="Verdana" w:eastAsia="Verdana" w:hAnsi="Verdana" w:cs="Verdana"/>
          <w:sz w:val="22"/>
          <w:szCs w:val="22"/>
          <w:lang w:val="es-ES_tradnl"/>
        </w:rPr>
        <w:t xml:space="preserve"> por motivos de discapacidad. Es, por tanto, el entorno el que debe adaptarse y no las personas. </w:t>
      </w:r>
    </w:p>
    <w:p w14:paraId="7277F37E" w14:textId="77777777" w:rsidR="00B153D5" w:rsidRPr="00B153D5" w:rsidRDefault="00B153D5" w:rsidP="00B153D5">
      <w:pPr>
        <w:spacing w:before="0" w:after="160" w:line="276" w:lineRule="auto"/>
        <w:ind w:left="0" w:firstLine="0"/>
        <w:rPr>
          <w:rFonts w:ascii="Verdana" w:eastAsia="Verdana" w:hAnsi="Verdana" w:cs="Verdana"/>
          <w:sz w:val="22"/>
          <w:szCs w:val="22"/>
          <w:lang w:val="es-ES_tradnl"/>
        </w:rPr>
      </w:pPr>
      <w:r w:rsidRPr="00B153D5">
        <w:rPr>
          <w:rFonts w:ascii="Verdana" w:eastAsia="Verdana" w:hAnsi="Verdana" w:cs="Verdana"/>
          <w:sz w:val="22"/>
          <w:szCs w:val="22"/>
          <w:lang w:val="es-ES_tradnl"/>
        </w:rPr>
        <w:t xml:space="preserve">La normativa técnica que desarrolla las condiciones básicas de accesibilidad y no discriminación ofrece una primera referencia para determinar la eficacia en la adaptación de un entorno urbano. Así, establece unos </w:t>
      </w:r>
      <w:r w:rsidRPr="00B153D5">
        <w:rPr>
          <w:rFonts w:ascii="Verdana" w:eastAsia="Verdana" w:hAnsi="Verdana" w:cs="Verdana"/>
          <w:b/>
          <w:sz w:val="22"/>
          <w:szCs w:val="22"/>
          <w:lang w:val="es-ES_tradnl"/>
        </w:rPr>
        <w:t>parámetros mínimos</w:t>
      </w:r>
      <w:r w:rsidRPr="00B153D5">
        <w:rPr>
          <w:rFonts w:ascii="Verdana" w:eastAsia="Verdana" w:hAnsi="Verdana" w:cs="Verdana"/>
          <w:sz w:val="22"/>
          <w:szCs w:val="22"/>
          <w:lang w:val="es-ES_tradnl"/>
        </w:rPr>
        <w:t xml:space="preserve"> para asegurar las condiciones óptimas para un amplio espectro de personas según su diversidad.</w:t>
      </w:r>
    </w:p>
    <w:p w14:paraId="38690EDA" w14:textId="77777777" w:rsidR="00B153D5" w:rsidRPr="001729EF" w:rsidRDefault="00B153D5" w:rsidP="00B153D5">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0489FA97" w14:textId="603A214D" w:rsidR="00B153D5" w:rsidRDefault="00B153D5" w:rsidP="00B153D5">
      <w:pPr>
        <w:pStyle w:val="Citadestacada"/>
      </w:pPr>
      <w:r w:rsidRPr="00B153D5">
        <w:t xml:space="preserve">Es importante diferenciar entre ajuste razonable y normativa técnica. El ajuste razonable del entorno es un derecho. Por su parte, la normativa técnica es un conjunto de mínimos que deben cumplirse, pero que, en algunos casos, no cubren las necesidades individuales de todas las personas con o sin discapacidad. </w:t>
      </w:r>
    </w:p>
    <w:p w14:paraId="311C81EE" w14:textId="77777777" w:rsidR="00B5487E" w:rsidRPr="00B5487E" w:rsidRDefault="00B5487E" w:rsidP="00B5487E"/>
    <w:p w14:paraId="04D23D2C" w14:textId="77777777" w:rsidR="00B5487E" w:rsidRPr="00B5487E"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 xml:space="preserve">El estricto cumplimiento de la normativa técnica vigente no asegura en todos los casos la satisfacción de las necesidades de las personas en el entorno urbano. Es imprescindible tener en cuenta otros parámetros y </w:t>
      </w:r>
      <w:r w:rsidRPr="00B5487E">
        <w:rPr>
          <w:rFonts w:ascii="Verdana" w:eastAsia="Verdana" w:hAnsi="Verdana" w:cs="Verdana"/>
          <w:b/>
          <w:sz w:val="22"/>
          <w:szCs w:val="22"/>
          <w:lang w:val="es-ES_tradnl"/>
        </w:rPr>
        <w:t xml:space="preserve">requerimientos particulares de cada situación. </w:t>
      </w:r>
      <w:r w:rsidRPr="00B5487E">
        <w:rPr>
          <w:rFonts w:ascii="Verdana" w:eastAsia="Verdana" w:hAnsi="Verdana" w:cs="Verdana"/>
          <w:sz w:val="22"/>
          <w:szCs w:val="22"/>
          <w:lang w:val="es-ES_tradnl"/>
        </w:rPr>
        <w:t>Por ejemplo, recordemos cómo en el capítulo 1. “Itinerarios peatonales accesibles” del presente manual se hacía el siguiente comentario:</w:t>
      </w:r>
    </w:p>
    <w:p w14:paraId="108166AD" w14:textId="77777777" w:rsidR="00B5487E" w:rsidRPr="00B5487E" w:rsidRDefault="00B5487E" w:rsidP="00B5487E">
      <w:pPr>
        <w:spacing w:line="276" w:lineRule="auto"/>
        <w:ind w:left="567"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 xml:space="preserve">“La anchura adecuada de un itinerario peatonal accesible está determinada por dos factores: la dimensión mínima de paso que establece la normativa y el aforo de peatones en la vía. </w:t>
      </w:r>
    </w:p>
    <w:p w14:paraId="4F4CBC56" w14:textId="3FECFE4F" w:rsidR="00B5487E" w:rsidRDefault="00B5487E" w:rsidP="00B5487E">
      <w:pPr>
        <w:spacing w:line="276" w:lineRule="auto"/>
        <w:ind w:left="567"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Haciendo un símil con la configuración de calzadas, los 180 cm de anchura libre de paso que establece la normativa pueden considerarse como ancho mínimo del “carril”, determinado por el tamaño del “vehículo”. La anchura total adecuada (número de carriles) vendrá determinada por el número de peatones circulantes, de manera que no se produzcan ‘atascos’”.</w:t>
      </w:r>
    </w:p>
    <w:p w14:paraId="01E4F74B" w14:textId="77777777" w:rsidR="00B5487E" w:rsidRPr="00B5487E" w:rsidRDefault="00B5487E" w:rsidP="00B5487E">
      <w:pPr>
        <w:spacing w:line="276" w:lineRule="auto"/>
        <w:ind w:left="0" w:firstLine="0"/>
        <w:rPr>
          <w:rFonts w:ascii="Verdana" w:eastAsia="Verdana" w:hAnsi="Verdana" w:cs="Verdana"/>
          <w:sz w:val="22"/>
          <w:szCs w:val="22"/>
          <w:lang w:val="es-ES_tradnl"/>
        </w:rPr>
      </w:pPr>
    </w:p>
    <w:p w14:paraId="72190C98" w14:textId="2000CE5C" w:rsidR="00B5487E"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 xml:space="preserve">El ajuste razonable de algunos entornos puede requerir </w:t>
      </w:r>
      <w:r w:rsidRPr="00B5487E">
        <w:rPr>
          <w:rFonts w:ascii="Verdana" w:eastAsia="Verdana" w:hAnsi="Verdana" w:cs="Verdana"/>
          <w:b/>
          <w:sz w:val="22"/>
          <w:szCs w:val="22"/>
          <w:lang w:val="es-ES_tradnl"/>
        </w:rPr>
        <w:t xml:space="preserve">parámetros aún más exigentes </w:t>
      </w:r>
      <w:r w:rsidRPr="00B5487E">
        <w:rPr>
          <w:rFonts w:ascii="Verdana" w:eastAsia="Verdana" w:hAnsi="Verdana" w:cs="Verdana"/>
          <w:sz w:val="22"/>
          <w:szCs w:val="22"/>
          <w:lang w:val="es-ES_tradnl"/>
        </w:rPr>
        <w:t>que los contemplados en la normativa básica.</w:t>
      </w:r>
    </w:p>
    <w:p w14:paraId="59F95A50" w14:textId="3065ADC4" w:rsidR="00B5487E" w:rsidRDefault="00B5487E" w:rsidP="00B5487E">
      <w:pPr>
        <w:spacing w:before="0" w:after="160" w:line="276" w:lineRule="auto"/>
        <w:ind w:left="0" w:firstLine="0"/>
        <w:rPr>
          <w:rFonts w:ascii="Verdana" w:eastAsia="Verdana" w:hAnsi="Verdana" w:cs="Verdana"/>
          <w:sz w:val="22"/>
          <w:szCs w:val="22"/>
          <w:lang w:val="es-ES_tradnl"/>
        </w:rPr>
      </w:pPr>
    </w:p>
    <w:p w14:paraId="47C80142" w14:textId="5EE51EA3" w:rsidR="00BD5B3B" w:rsidRDefault="00BD5B3B" w:rsidP="00B5487E">
      <w:pPr>
        <w:spacing w:before="0" w:after="160" w:line="276" w:lineRule="auto"/>
        <w:ind w:left="0" w:firstLine="0"/>
        <w:rPr>
          <w:rFonts w:ascii="Verdana" w:eastAsia="Verdana" w:hAnsi="Verdana" w:cs="Verdana"/>
          <w:sz w:val="22"/>
          <w:szCs w:val="22"/>
          <w:lang w:val="es-ES_tradnl"/>
        </w:rPr>
      </w:pPr>
    </w:p>
    <w:p w14:paraId="16D52F01" w14:textId="77777777" w:rsidR="00BD5B3B" w:rsidRPr="00B5487E" w:rsidRDefault="00BD5B3B" w:rsidP="00B5487E">
      <w:pPr>
        <w:spacing w:before="0" w:after="160" w:line="276" w:lineRule="auto"/>
        <w:ind w:left="0" w:firstLine="0"/>
        <w:rPr>
          <w:rFonts w:ascii="Verdana" w:eastAsia="Verdana" w:hAnsi="Verdana" w:cs="Verdana"/>
          <w:sz w:val="22"/>
          <w:szCs w:val="22"/>
          <w:lang w:val="es-ES_tradnl"/>
        </w:rPr>
      </w:pPr>
    </w:p>
    <w:p w14:paraId="14FD8B16" w14:textId="290BBE2F" w:rsidR="001729EF" w:rsidRDefault="00B5487E" w:rsidP="0031432B">
      <w:pPr>
        <w:pStyle w:val="Prrafodelista"/>
        <w:numPr>
          <w:ilvl w:val="1"/>
          <w:numId w:val="9"/>
        </w:numPr>
        <w:spacing w:before="0" w:after="160" w:line="276" w:lineRule="auto"/>
        <w:ind w:left="567"/>
        <w:rPr>
          <w:rFonts w:ascii="Verdana" w:eastAsia="Verdana" w:hAnsi="Verdana" w:cs="Verdana"/>
          <w:b/>
          <w:sz w:val="22"/>
          <w:szCs w:val="22"/>
          <w:lang w:val="es-ES_tradnl"/>
        </w:rPr>
      </w:pPr>
      <w:r w:rsidRPr="00B5487E">
        <w:rPr>
          <w:rFonts w:ascii="Verdana" w:eastAsia="Verdana" w:hAnsi="Verdana" w:cs="Verdana"/>
          <w:b/>
          <w:sz w:val="22"/>
          <w:szCs w:val="22"/>
          <w:lang w:val="es-ES_tradnl"/>
        </w:rPr>
        <w:lastRenderedPageBreak/>
        <w:t>Proporcionalidad</w:t>
      </w:r>
    </w:p>
    <w:p w14:paraId="250FE3B9" w14:textId="77777777" w:rsidR="00B5487E" w:rsidRPr="00B5487E"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Los entornos urbanizados de nueva construcción (a partir del 4 de diciembre de 2010) no deberían tener impedimentos para alcanzar, en diseño y construcción, las condiciones que aseguren su adecuada usabilidad por todas las personas. Cumplirían, e incluso mejorarían si fuera necesario, los parámetros contemplados en la normativa vigente.</w:t>
      </w:r>
    </w:p>
    <w:p w14:paraId="6D9FE6D4" w14:textId="77777777" w:rsidR="00B5487E" w:rsidRPr="00B5487E"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 xml:space="preserve">Sin embargo, ¿qué ocurre con las adaptaciones a realizar en entornos urbanizados existentes </w:t>
      </w:r>
      <w:r w:rsidRPr="00B5487E">
        <w:rPr>
          <w:rFonts w:ascii="Verdana" w:eastAsia="Verdana" w:hAnsi="Verdana" w:cs="Verdana"/>
          <w:b/>
          <w:sz w:val="22"/>
          <w:szCs w:val="22"/>
          <w:lang w:val="es-ES_tradnl"/>
        </w:rPr>
        <w:t>con anterioridad al 4 de diciembre de 2010?</w:t>
      </w:r>
      <w:r w:rsidRPr="00B5487E">
        <w:rPr>
          <w:rFonts w:ascii="Verdana" w:eastAsia="Verdana" w:hAnsi="Verdana" w:cs="Verdana"/>
          <w:sz w:val="22"/>
          <w:szCs w:val="22"/>
          <w:lang w:val="es-ES_tradnl"/>
        </w:rPr>
        <w:t xml:space="preserve"> Según la legislación vigente, estos entornos han debido estar “razonablemente” adaptados a partir del 4 de diciembre de 2017.</w:t>
      </w:r>
    </w:p>
    <w:p w14:paraId="73D43225" w14:textId="77777777" w:rsidR="00BD5B3B"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 xml:space="preserve">La legislación actual no hace referencia explícita a este concepto de “proporcionalidad” </w:t>
      </w:r>
      <w:proofErr w:type="gramStart"/>
      <w:r w:rsidRPr="00B5487E">
        <w:rPr>
          <w:rFonts w:ascii="Verdana" w:eastAsia="Verdana" w:hAnsi="Verdana" w:cs="Verdana"/>
          <w:sz w:val="22"/>
          <w:szCs w:val="22"/>
          <w:lang w:val="es-ES_tradnl"/>
        </w:rPr>
        <w:t>a</w:t>
      </w:r>
      <w:proofErr w:type="gramEnd"/>
      <w:r w:rsidRPr="00B5487E">
        <w:rPr>
          <w:rFonts w:ascii="Verdana" w:eastAsia="Verdana" w:hAnsi="Verdana" w:cs="Verdana"/>
          <w:sz w:val="22"/>
          <w:szCs w:val="22"/>
          <w:lang w:val="es-ES_tradnl"/>
        </w:rPr>
        <w:t xml:space="preserve"> tener en cuenta en entornos urbanizados. Por ello, como referencia conceptual, parece adecuado atender a las consideraciones referidas al entorno edificado (que sí prevén los textos normativos), para determinar si </w:t>
      </w:r>
      <w:r w:rsidRPr="00B5487E">
        <w:rPr>
          <w:rFonts w:ascii="Verdana" w:eastAsia="Verdana" w:hAnsi="Verdana" w:cs="Verdana"/>
          <w:b/>
          <w:sz w:val="22"/>
          <w:szCs w:val="22"/>
          <w:lang w:val="es-ES_tradnl"/>
        </w:rPr>
        <w:t>una carga es o no proporcionada.</w:t>
      </w:r>
    </w:p>
    <w:p w14:paraId="2A673CD1" w14:textId="3C110406" w:rsidR="00B5487E" w:rsidRPr="00B5487E"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Serían estas:</w:t>
      </w:r>
    </w:p>
    <w:p w14:paraId="5594E3AF" w14:textId="77777777" w:rsidR="00B5487E" w:rsidRPr="00B5487E" w:rsidRDefault="00B5487E" w:rsidP="00B5487E">
      <w:pPr>
        <w:pStyle w:val="Prrafodelista"/>
        <w:numPr>
          <w:ilvl w:val="0"/>
          <w:numId w:val="12"/>
        </w:numPr>
        <w:spacing w:before="0" w:after="160" w:line="276" w:lineRule="auto"/>
        <w:rPr>
          <w:rFonts w:ascii="Verdana" w:eastAsia="Verdana" w:hAnsi="Verdana" w:cs="Verdana"/>
          <w:sz w:val="22"/>
          <w:szCs w:val="22"/>
          <w:lang w:val="es-ES_tradnl"/>
        </w:rPr>
      </w:pPr>
      <w:r w:rsidRPr="00B5487E">
        <w:rPr>
          <w:rFonts w:ascii="Verdana" w:eastAsia="Verdana" w:hAnsi="Verdana" w:cs="Verdana"/>
          <w:sz w:val="22"/>
          <w:szCs w:val="22"/>
          <w:lang w:val="es-ES_tradnl"/>
        </w:rPr>
        <w:t>Efectos discriminatorios que podría representar no adoptarlas.</w:t>
      </w:r>
    </w:p>
    <w:p w14:paraId="4BEF8E89" w14:textId="77777777" w:rsidR="00B5487E" w:rsidRPr="00B5487E" w:rsidRDefault="00B5487E" w:rsidP="00B5487E">
      <w:pPr>
        <w:pStyle w:val="Prrafodelista"/>
        <w:numPr>
          <w:ilvl w:val="0"/>
          <w:numId w:val="12"/>
        </w:numPr>
        <w:spacing w:before="0" w:after="160" w:line="276" w:lineRule="auto"/>
        <w:rPr>
          <w:rFonts w:ascii="Verdana" w:eastAsia="Verdana" w:hAnsi="Verdana" w:cs="Verdana"/>
          <w:sz w:val="22"/>
          <w:szCs w:val="22"/>
          <w:lang w:val="es-ES_tradnl"/>
        </w:rPr>
      </w:pPr>
      <w:r w:rsidRPr="00B5487E">
        <w:rPr>
          <w:rFonts w:ascii="Verdana" w:eastAsia="Verdana" w:hAnsi="Verdana" w:cs="Verdana"/>
          <w:sz w:val="22"/>
          <w:szCs w:val="22"/>
          <w:lang w:val="es-ES_tradnl"/>
        </w:rPr>
        <w:t>Viabilidad técnica; existen medios técnicos para llevarla a cabo.</w:t>
      </w:r>
    </w:p>
    <w:p w14:paraId="403BEF11" w14:textId="77777777" w:rsidR="00B5487E" w:rsidRPr="00B5487E" w:rsidRDefault="00B5487E" w:rsidP="00B5487E">
      <w:pPr>
        <w:pStyle w:val="Prrafodelista"/>
        <w:numPr>
          <w:ilvl w:val="0"/>
          <w:numId w:val="12"/>
        </w:numPr>
        <w:spacing w:before="0" w:after="160" w:line="276" w:lineRule="auto"/>
        <w:rPr>
          <w:rFonts w:ascii="Verdana" w:eastAsia="Verdana" w:hAnsi="Verdana" w:cs="Verdana"/>
          <w:sz w:val="22"/>
          <w:szCs w:val="22"/>
          <w:lang w:val="es-ES_tradnl"/>
        </w:rPr>
      </w:pPr>
      <w:r w:rsidRPr="00B5487E">
        <w:rPr>
          <w:rFonts w:ascii="Verdana" w:eastAsia="Verdana" w:hAnsi="Verdana" w:cs="Verdana"/>
          <w:sz w:val="22"/>
          <w:szCs w:val="22"/>
          <w:lang w:val="es-ES_tradnl"/>
        </w:rPr>
        <w:t>Hay una persona o entidad responsable de realizar la adaptación del entorno.</w:t>
      </w:r>
    </w:p>
    <w:p w14:paraId="564F3C16" w14:textId="77777777" w:rsidR="00B5487E" w:rsidRPr="00B5487E" w:rsidRDefault="00B5487E" w:rsidP="00B5487E">
      <w:pPr>
        <w:pStyle w:val="Prrafodelista"/>
        <w:numPr>
          <w:ilvl w:val="0"/>
          <w:numId w:val="12"/>
        </w:numPr>
        <w:spacing w:before="0" w:after="160" w:line="276" w:lineRule="auto"/>
        <w:rPr>
          <w:rFonts w:ascii="Verdana" w:eastAsia="Verdana" w:hAnsi="Verdana" w:cs="Verdana"/>
          <w:sz w:val="22"/>
          <w:szCs w:val="22"/>
          <w:lang w:val="es-ES_tradnl"/>
        </w:rPr>
      </w:pPr>
      <w:r w:rsidRPr="00B5487E">
        <w:rPr>
          <w:rFonts w:ascii="Verdana" w:eastAsia="Verdana" w:hAnsi="Verdana" w:cs="Verdana"/>
          <w:sz w:val="22"/>
          <w:szCs w:val="22"/>
          <w:lang w:val="es-ES_tradnl"/>
        </w:rPr>
        <w:t>Viabilidad económica: resulta una inversión sostenible.</w:t>
      </w:r>
    </w:p>
    <w:p w14:paraId="38C0FAD3" w14:textId="0A3B0FA9" w:rsidR="00B5487E" w:rsidRDefault="00B5487E" w:rsidP="00B5487E">
      <w:pPr>
        <w:pStyle w:val="Prrafodelista"/>
        <w:numPr>
          <w:ilvl w:val="0"/>
          <w:numId w:val="12"/>
        </w:numPr>
        <w:spacing w:before="0" w:after="160" w:line="276" w:lineRule="auto"/>
        <w:rPr>
          <w:rFonts w:ascii="Verdana" w:eastAsia="Verdana" w:hAnsi="Verdana" w:cs="Verdana"/>
          <w:sz w:val="22"/>
          <w:szCs w:val="22"/>
          <w:lang w:val="es-ES_tradnl"/>
        </w:rPr>
      </w:pPr>
      <w:r w:rsidRPr="00B5487E">
        <w:rPr>
          <w:rFonts w:ascii="Verdana" w:eastAsia="Verdana" w:hAnsi="Verdana" w:cs="Verdana"/>
          <w:sz w:val="22"/>
          <w:szCs w:val="22"/>
          <w:lang w:val="es-ES_tradnl"/>
        </w:rPr>
        <w:t>Razones urbanísticas; por ejemplo, protección del patrimonio histórico o natural.</w:t>
      </w:r>
    </w:p>
    <w:p w14:paraId="16D48ABB" w14:textId="77777777" w:rsidR="00277C54" w:rsidRPr="00277C54" w:rsidRDefault="00277C54" w:rsidP="00277C54">
      <w:pPr>
        <w:spacing w:before="0" w:after="160" w:line="276" w:lineRule="auto"/>
        <w:ind w:left="0" w:firstLine="0"/>
        <w:rPr>
          <w:rFonts w:ascii="Verdana" w:eastAsia="Verdana" w:hAnsi="Verdana" w:cs="Verdana"/>
          <w:sz w:val="22"/>
          <w:szCs w:val="22"/>
          <w:lang w:val="es-ES_tradnl"/>
        </w:rPr>
      </w:pPr>
    </w:p>
    <w:p w14:paraId="7434DE7A" w14:textId="77777777" w:rsidR="00B5487E" w:rsidRPr="001729EF" w:rsidRDefault="00B5487E" w:rsidP="00B5487E">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4B56FCBC" w14:textId="77777777" w:rsidR="00B5487E" w:rsidRPr="00B5487E" w:rsidRDefault="00B5487E" w:rsidP="00B5487E">
      <w:pPr>
        <w:pStyle w:val="Citadestacada"/>
      </w:pPr>
      <w:r w:rsidRPr="00B5487E">
        <w:t xml:space="preserve">“Por </w:t>
      </w:r>
      <w:r w:rsidRPr="00B5487E">
        <w:rPr>
          <w:b/>
        </w:rPr>
        <w:t>‘discriminación por motivos de discapacidad</w:t>
      </w:r>
      <w:r w:rsidRPr="00B5487E">
        <w:t xml:space="preserve">’ se entenderá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w:t>
      </w:r>
      <w:r w:rsidRPr="00B5487E">
        <w:rPr>
          <w:b/>
        </w:rPr>
        <w:t>entre ellas, la denegación de ajustes razonables”</w:t>
      </w:r>
    </w:p>
    <w:p w14:paraId="632A9189" w14:textId="1F98A372" w:rsidR="00B5487E" w:rsidRDefault="00B5487E" w:rsidP="00B5487E">
      <w:pPr>
        <w:pStyle w:val="Citadestacada"/>
      </w:pPr>
      <w:r w:rsidRPr="00B5487E">
        <w:t>Convención sobre los Derechos de las Personas con Discapacidad de las Naciones Unidas. Artículo 2. Definiciones</w:t>
      </w:r>
      <w:r>
        <w:t>.</w:t>
      </w:r>
    </w:p>
    <w:p w14:paraId="3DC31F36" w14:textId="4248A22E" w:rsidR="00B5487E" w:rsidRDefault="00B5487E" w:rsidP="00B5487E"/>
    <w:p w14:paraId="7782A822" w14:textId="77777777" w:rsidR="00277C54" w:rsidRDefault="00277C54" w:rsidP="00B5487E"/>
    <w:p w14:paraId="15B3BE9C" w14:textId="3A883C43" w:rsidR="00BD5B3B" w:rsidRPr="00E77CC8" w:rsidRDefault="00E77CC8" w:rsidP="00277C54">
      <w:pPr>
        <w:pStyle w:val="Ttulo3"/>
        <w:spacing w:before="480" w:after="240"/>
        <w:ind w:left="426" w:hanging="426"/>
      </w:pPr>
      <w:bookmarkStart w:id="2" w:name="_Toc115248214"/>
      <w:r w:rsidRPr="00E77CC8">
        <w:lastRenderedPageBreak/>
        <w:t>Adecuación efectiva</w:t>
      </w:r>
      <w:bookmarkEnd w:id="2"/>
    </w:p>
    <w:p w14:paraId="4E48370F" w14:textId="77777777" w:rsidR="00B5487E" w:rsidRPr="00B5487E"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 xml:space="preserve">Podría suceder que, por alguna razón, los parámetros básicos (o mínimos) de la normativa técnica fuesen considerados “desproporcionados”. Pero no realizar ninguna adaptación que mejore el nivel de accesibilidad de un entorno es un </w:t>
      </w:r>
      <w:r w:rsidRPr="00B5487E">
        <w:rPr>
          <w:rFonts w:ascii="Verdana" w:eastAsia="Verdana" w:hAnsi="Verdana" w:cs="Verdana"/>
          <w:b/>
          <w:bCs/>
          <w:sz w:val="22"/>
          <w:szCs w:val="22"/>
          <w:lang w:val="es-ES_tradnl"/>
        </w:rPr>
        <w:t>grave</w:t>
      </w:r>
      <w:r w:rsidRPr="00B5487E">
        <w:rPr>
          <w:rFonts w:ascii="Verdana" w:eastAsia="Verdana" w:hAnsi="Verdana" w:cs="Verdana"/>
          <w:sz w:val="22"/>
          <w:szCs w:val="22"/>
          <w:lang w:val="es-ES_tradnl"/>
        </w:rPr>
        <w:t xml:space="preserve"> </w:t>
      </w:r>
      <w:r w:rsidRPr="00B5487E">
        <w:rPr>
          <w:rFonts w:ascii="Verdana" w:eastAsia="Verdana" w:hAnsi="Verdana" w:cs="Verdana"/>
          <w:b/>
          <w:bCs/>
          <w:sz w:val="22"/>
          <w:szCs w:val="22"/>
          <w:lang w:val="es-ES_tradnl"/>
        </w:rPr>
        <w:t>error</w:t>
      </w:r>
      <w:r w:rsidRPr="00B5487E">
        <w:rPr>
          <w:rFonts w:ascii="Verdana" w:eastAsia="Verdana" w:hAnsi="Verdana" w:cs="Verdana"/>
          <w:sz w:val="22"/>
          <w:szCs w:val="22"/>
          <w:lang w:val="es-ES_tradnl"/>
        </w:rPr>
        <w:t>. Además, contraviene absolutamente los principios y objetivos contemplados por la legislación, la responsabilidad social y la buena práctica profesional.</w:t>
      </w:r>
    </w:p>
    <w:p w14:paraId="43752B4B" w14:textId="77777777" w:rsidR="00B5487E" w:rsidRPr="00B5487E"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En estos casos, parece adecuado establecer ciertas tolerancias sobre los parámetros de la normativa básica. Así se facilita su implantación en condiciones razonables. Podría ser mediante una pequeña disminución en sus condiciones de eficacia o compensando con otras medidas o actuaciones. Todo ello en favor de una mejora en las condiciones de proporcionalidad que hagan viable la adaptación.</w:t>
      </w:r>
    </w:p>
    <w:p w14:paraId="010AB052" w14:textId="61C469A9" w:rsidR="00B5487E" w:rsidRPr="00B5487E"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El documento “DA DB-SUA/2”, de apoyo al documento básico “DB-SUA Seguridad de utilización y accesibilidad” del Código Técnico de la Edificación, establece una serie de tolerancias para estos casos. Además, recoge el concepto de “</w:t>
      </w:r>
      <w:r w:rsidRPr="00B5487E">
        <w:rPr>
          <w:rFonts w:ascii="Verdana" w:eastAsia="Verdana" w:hAnsi="Verdana" w:cs="Verdana"/>
          <w:b/>
          <w:bCs/>
          <w:sz w:val="22"/>
          <w:szCs w:val="22"/>
          <w:lang w:val="es-ES_tradnl"/>
        </w:rPr>
        <w:t>adecuación efectiva</w:t>
      </w:r>
      <w:r w:rsidRPr="00B5487E">
        <w:rPr>
          <w:rFonts w:ascii="Verdana" w:eastAsia="Verdana" w:hAnsi="Verdana" w:cs="Verdana"/>
          <w:sz w:val="22"/>
          <w:szCs w:val="22"/>
          <w:lang w:val="es-ES_tradnl"/>
        </w:rPr>
        <w:t>”.</w:t>
      </w:r>
    </w:p>
    <w:p w14:paraId="121AE5A0" w14:textId="77777777" w:rsidR="00B5487E" w:rsidRPr="00B5487E" w:rsidRDefault="00B5487E" w:rsidP="00B5487E">
      <w:pPr>
        <w:spacing w:before="0" w:after="160" w:line="276" w:lineRule="auto"/>
        <w:ind w:left="0" w:firstLine="0"/>
        <w:rPr>
          <w:rFonts w:ascii="Verdana" w:eastAsia="Verdana" w:hAnsi="Verdana" w:cs="Verdana"/>
          <w:sz w:val="22"/>
          <w:szCs w:val="22"/>
          <w:lang w:val="es-ES_tradnl"/>
        </w:rPr>
      </w:pPr>
      <w:r w:rsidRPr="00B5487E">
        <w:rPr>
          <w:rFonts w:ascii="Verdana" w:eastAsia="Verdana" w:hAnsi="Verdana" w:cs="Verdana"/>
          <w:sz w:val="22"/>
          <w:szCs w:val="22"/>
          <w:lang w:val="es-ES_tradnl"/>
        </w:rPr>
        <w:t>Utilizando la misma nomenclatura que el CTE podemos decir que:</w:t>
      </w:r>
    </w:p>
    <w:p w14:paraId="30254AC8" w14:textId="77777777" w:rsidR="00B5487E" w:rsidRPr="00B5487E" w:rsidRDefault="00000000" w:rsidP="00B5487E">
      <w:pPr>
        <w:spacing w:before="0" w:after="160" w:line="276" w:lineRule="auto"/>
        <w:ind w:left="0" w:firstLine="0"/>
        <w:jc w:val="both"/>
        <w:rPr>
          <w:rFonts w:ascii="Verdana" w:eastAsia="Verdana" w:hAnsi="Verdana" w:cs="Verdana"/>
          <w:b/>
          <w:bCs/>
          <w:sz w:val="22"/>
          <w:szCs w:val="22"/>
          <w:lang w:val="es-ES_tradnl"/>
        </w:rPr>
      </w:pPr>
      <w:sdt>
        <w:sdtPr>
          <w:rPr>
            <w:rFonts w:ascii="Calibri" w:eastAsia="Calibri" w:hAnsi="Calibri" w:cs="Calibri"/>
            <w:sz w:val="22"/>
            <w:szCs w:val="22"/>
            <w:lang w:val="es-ES_tradnl"/>
          </w:rPr>
          <w:tag w:val="goog_rdk_1"/>
          <w:id w:val="1824306549"/>
        </w:sdtPr>
        <w:sdtContent/>
      </w:sdt>
      <w:r w:rsidR="00B5487E" w:rsidRPr="00B5487E">
        <w:rPr>
          <w:rFonts w:ascii="Verdana" w:eastAsia="Verdana" w:hAnsi="Verdana" w:cs="Verdana"/>
          <w:b/>
          <w:bCs/>
          <w:sz w:val="22"/>
          <w:szCs w:val="22"/>
          <w:lang w:val="es-ES_tradnl"/>
        </w:rPr>
        <w:t>Por “adecuación efectiva” se entiende la adaptación del entorno urbanizado (preexistente al 4 de diciembre de 2010) que, sin alcanzar los parámetros de la normativa básica, consigue un balance óptimo entre:</w:t>
      </w:r>
    </w:p>
    <w:p w14:paraId="574A332B" w14:textId="055B1556" w:rsidR="00B5487E" w:rsidRDefault="00F16436" w:rsidP="00B5487E">
      <w:pPr>
        <w:numPr>
          <w:ilvl w:val="0"/>
          <w:numId w:val="13"/>
        </w:numPr>
        <w:spacing w:before="0" w:after="0" w:line="276" w:lineRule="auto"/>
        <w:jc w:val="both"/>
        <w:rPr>
          <w:rFonts w:ascii="Verdana" w:eastAsia="Verdana" w:hAnsi="Verdana" w:cs="Verdana"/>
          <w:b/>
          <w:bCs/>
          <w:sz w:val="22"/>
          <w:szCs w:val="22"/>
          <w:lang w:val="es-ES_tradnl"/>
        </w:rPr>
      </w:pPr>
      <w:r>
        <w:rPr>
          <w:rFonts w:ascii="Verdana" w:eastAsia="Verdana" w:hAnsi="Verdana" w:cs="Verdana"/>
          <w:b/>
          <w:bCs/>
          <w:sz w:val="22"/>
          <w:szCs w:val="22"/>
          <w:lang w:val="es-ES_tradnl"/>
        </w:rPr>
        <w:t>L</w:t>
      </w:r>
      <w:r w:rsidR="00B5487E" w:rsidRPr="00B5487E">
        <w:rPr>
          <w:rFonts w:ascii="Verdana" w:eastAsia="Verdana" w:hAnsi="Verdana" w:cs="Verdana"/>
          <w:b/>
          <w:bCs/>
          <w:sz w:val="22"/>
          <w:szCs w:val="22"/>
          <w:lang w:val="es-ES_tradnl"/>
        </w:rPr>
        <w:t xml:space="preserve">a eficacia de la medida y </w:t>
      </w:r>
    </w:p>
    <w:p w14:paraId="01A912F0" w14:textId="2E20AA6C" w:rsidR="00B5487E" w:rsidRDefault="00F16436" w:rsidP="00B5487E">
      <w:pPr>
        <w:numPr>
          <w:ilvl w:val="0"/>
          <w:numId w:val="13"/>
        </w:numPr>
        <w:spacing w:before="0" w:after="0" w:line="276" w:lineRule="auto"/>
        <w:jc w:val="both"/>
        <w:rPr>
          <w:rFonts w:ascii="Verdana" w:eastAsia="Verdana" w:hAnsi="Verdana" w:cs="Verdana"/>
          <w:b/>
          <w:bCs/>
          <w:sz w:val="22"/>
          <w:szCs w:val="22"/>
          <w:lang w:val="es-ES_tradnl"/>
        </w:rPr>
      </w:pPr>
      <w:r>
        <w:rPr>
          <w:rFonts w:ascii="Verdana" w:eastAsia="Verdana" w:hAnsi="Verdana" w:cs="Verdana"/>
          <w:b/>
          <w:bCs/>
          <w:sz w:val="22"/>
          <w:szCs w:val="22"/>
          <w:lang w:val="es-ES_tradnl"/>
        </w:rPr>
        <w:t>L</w:t>
      </w:r>
      <w:r w:rsidR="00B5487E" w:rsidRPr="00B5487E">
        <w:rPr>
          <w:rFonts w:ascii="Verdana" w:eastAsia="Verdana" w:hAnsi="Verdana" w:cs="Verdana"/>
          <w:b/>
          <w:bCs/>
          <w:sz w:val="22"/>
          <w:szCs w:val="22"/>
          <w:lang w:val="es-ES_tradnl"/>
        </w:rPr>
        <w:t>a proporcionalidad de su aplicación de manera que resulte viable</w:t>
      </w:r>
      <w:r w:rsidR="00A17328">
        <w:rPr>
          <w:rFonts w:ascii="Verdana" w:eastAsia="Verdana" w:hAnsi="Verdana" w:cs="Verdana"/>
          <w:b/>
          <w:bCs/>
          <w:sz w:val="22"/>
          <w:szCs w:val="22"/>
          <w:lang w:val="es-ES_tradnl"/>
        </w:rPr>
        <w:t>.</w:t>
      </w:r>
    </w:p>
    <w:p w14:paraId="2C341F59" w14:textId="77777777" w:rsidR="00A17328" w:rsidRDefault="00A17328" w:rsidP="00A17328">
      <w:pPr>
        <w:ind w:left="0" w:firstLine="0"/>
        <w:rPr>
          <w:rFonts w:ascii="Verdana" w:eastAsia="Verdana" w:hAnsi="Verdana" w:cs="Verdana"/>
        </w:rPr>
      </w:pPr>
    </w:p>
    <w:p w14:paraId="714CC383" w14:textId="3D20BE5F" w:rsidR="00A17328" w:rsidRPr="00E77CC8" w:rsidRDefault="00A17328" w:rsidP="00A17328">
      <w:pPr>
        <w:spacing w:line="276" w:lineRule="auto"/>
        <w:ind w:left="0" w:firstLine="0"/>
        <w:rPr>
          <w:rFonts w:ascii="Verdana" w:eastAsia="Verdana" w:hAnsi="Verdana" w:cs="Verdana"/>
          <w:b/>
          <w:sz w:val="22"/>
          <w:szCs w:val="22"/>
        </w:rPr>
      </w:pPr>
      <w:r w:rsidRPr="00E77CC8">
        <w:rPr>
          <w:rFonts w:ascii="Verdana" w:eastAsia="Verdana" w:hAnsi="Verdana" w:cs="Verdana"/>
          <w:sz w:val="22"/>
          <w:szCs w:val="22"/>
        </w:rPr>
        <w:t xml:space="preserve">Todo ello con el objetivo de obtener </w:t>
      </w:r>
      <w:r w:rsidRPr="00E77CC8">
        <w:rPr>
          <w:rFonts w:ascii="Verdana" w:eastAsia="Verdana" w:hAnsi="Verdana" w:cs="Verdana"/>
          <w:b/>
          <w:sz w:val="22"/>
          <w:szCs w:val="22"/>
        </w:rPr>
        <w:t>el mayor grado de accesibilidad del entorno urbanizado.</w:t>
      </w:r>
    </w:p>
    <w:p w14:paraId="28F560BE" w14:textId="6E8F48BC" w:rsidR="00A17328" w:rsidRPr="00E77CC8" w:rsidRDefault="00A17328" w:rsidP="00A17328">
      <w:pPr>
        <w:spacing w:line="276" w:lineRule="auto"/>
        <w:ind w:left="0" w:firstLine="0"/>
        <w:rPr>
          <w:rFonts w:ascii="Verdana" w:eastAsia="Verdana" w:hAnsi="Verdana" w:cs="Verdana"/>
          <w:sz w:val="22"/>
          <w:szCs w:val="22"/>
        </w:rPr>
      </w:pPr>
      <w:r w:rsidRPr="00E77CC8">
        <w:rPr>
          <w:rFonts w:ascii="Verdana" w:eastAsia="Verdana" w:hAnsi="Verdana" w:cs="Verdana"/>
          <w:sz w:val="22"/>
          <w:szCs w:val="22"/>
        </w:rPr>
        <w:t>Al igual que ocurre en el entorno edificado, el criterio profesional será el que proponga la adopción de una adecuación efectiva frente a un cumplimiento normativo presuntamente inviable. No obstante, la autoridad competente es quien toma la decisión final acerca de si, en cada caso concreto, dicha proporcionalidad y el grado de mejora son razonablemente suficientes.</w:t>
      </w:r>
    </w:p>
    <w:p w14:paraId="09E658B3" w14:textId="77777777" w:rsidR="00A17328" w:rsidRDefault="00A17328" w:rsidP="00A17328">
      <w:pPr>
        <w:spacing w:line="276" w:lineRule="auto"/>
        <w:ind w:left="0" w:firstLine="0"/>
        <w:rPr>
          <w:rFonts w:ascii="Verdana" w:eastAsia="Verdana" w:hAnsi="Verdana" w:cs="Verdana"/>
        </w:rPr>
      </w:pPr>
    </w:p>
    <w:p w14:paraId="79A5A9A2" w14:textId="646B2FE7" w:rsidR="00A17328" w:rsidRDefault="00A17328" w:rsidP="00A17328">
      <w:pPr>
        <w:spacing w:before="0" w:after="0" w:line="276" w:lineRule="auto"/>
        <w:ind w:left="0" w:firstLine="0"/>
        <w:jc w:val="both"/>
        <w:rPr>
          <w:rFonts w:ascii="Verdana" w:eastAsia="Verdana" w:hAnsi="Verdana" w:cs="Verdana"/>
          <w:b/>
          <w:bCs/>
          <w:sz w:val="22"/>
          <w:szCs w:val="22"/>
        </w:rPr>
      </w:pPr>
      <w:r>
        <w:rPr>
          <w:rFonts w:ascii="Verdana" w:eastAsia="Verdana" w:hAnsi="Verdana" w:cs="Verdana"/>
          <w:noProof/>
          <w:sz w:val="20"/>
          <w:szCs w:val="20"/>
        </w:rPr>
        <w:lastRenderedPageBreak/>
        <w:drawing>
          <wp:inline distT="0" distB="0" distL="0" distR="0" wp14:anchorId="2A01C958" wp14:editId="4FCBA86D">
            <wp:extent cx="5763895" cy="2000885"/>
            <wp:effectExtent l="0" t="0" r="0" b="0"/>
            <wp:docPr id="33" name="image6.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image6.jp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5763895" cy="2000885"/>
                    </a:xfrm>
                    <a:prstGeom prst="rect">
                      <a:avLst/>
                    </a:prstGeom>
                    <a:ln/>
                  </pic:spPr>
                </pic:pic>
              </a:graphicData>
            </a:graphic>
          </wp:inline>
        </w:drawing>
      </w:r>
    </w:p>
    <w:p w14:paraId="7F199A43" w14:textId="7C95BD48" w:rsidR="00A17328" w:rsidRDefault="00A17328" w:rsidP="00A17328">
      <w:pPr>
        <w:spacing w:before="0" w:after="0" w:line="276" w:lineRule="auto"/>
        <w:ind w:left="0" w:firstLine="0"/>
        <w:jc w:val="both"/>
        <w:rPr>
          <w:rFonts w:ascii="Verdana" w:eastAsia="Verdana" w:hAnsi="Verdana" w:cs="Verdana"/>
          <w:b/>
          <w:bCs/>
          <w:sz w:val="22"/>
          <w:szCs w:val="22"/>
        </w:rPr>
      </w:pPr>
    </w:p>
    <w:p w14:paraId="4909909D" w14:textId="77777777" w:rsidR="004D35AB" w:rsidRPr="001729EF" w:rsidRDefault="004D35AB" w:rsidP="004D35AB">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5F844F1E" w14:textId="77777777" w:rsidR="004D35AB" w:rsidRPr="004D35AB" w:rsidRDefault="004D35AB" w:rsidP="004D35AB">
      <w:pPr>
        <w:pStyle w:val="Citadestacada"/>
      </w:pPr>
      <w:r w:rsidRPr="004D35AB">
        <w:t>Actualmente, el concepto de “ajuste razonable” es objeto de una gran controversia y debate. Para profundizar en el tema se recomienda la consulta del siguiente documento:</w:t>
      </w:r>
    </w:p>
    <w:p w14:paraId="71DC0DE8" w14:textId="77777777" w:rsidR="004D35AB" w:rsidRPr="004D35AB" w:rsidRDefault="004D35AB" w:rsidP="004D35AB">
      <w:pPr>
        <w:pStyle w:val="Citadestacada"/>
      </w:pPr>
      <w:r w:rsidRPr="004D35AB">
        <w:t>“</w:t>
      </w:r>
      <w:r w:rsidRPr="004D35AB">
        <w:rPr>
          <w:b/>
        </w:rPr>
        <w:t>El derecho a los ajustes razonables en la edificación existente</w:t>
      </w:r>
      <w:r w:rsidRPr="004D35AB">
        <w:t xml:space="preserve">”. DIAZ CARNERERO, E. </w:t>
      </w:r>
      <w:proofErr w:type="spellStart"/>
      <w:r w:rsidRPr="004D35AB">
        <w:t>CEFLegal</w:t>
      </w:r>
      <w:proofErr w:type="spellEnd"/>
      <w:r w:rsidRPr="004D35AB">
        <w:t xml:space="preserve">, revista práctica de derecho. Comentarios y casos prácticos, ISSN 1699-129X, </w:t>
      </w:r>
      <w:proofErr w:type="spellStart"/>
      <w:r w:rsidRPr="004D35AB">
        <w:t>Nº</w:t>
      </w:r>
      <w:proofErr w:type="spellEnd"/>
      <w:r w:rsidRPr="004D35AB">
        <w:t>. 178, 2015, págs. 129-170</w:t>
      </w:r>
    </w:p>
    <w:p w14:paraId="08D343FD" w14:textId="1CB21726" w:rsidR="004D35AB" w:rsidRDefault="004D35AB" w:rsidP="00A17328">
      <w:pPr>
        <w:spacing w:before="0" w:after="0" w:line="276" w:lineRule="auto"/>
        <w:ind w:left="0" w:firstLine="0"/>
        <w:jc w:val="both"/>
        <w:rPr>
          <w:rFonts w:ascii="Verdana" w:eastAsia="Verdana" w:hAnsi="Verdana" w:cs="Verdana"/>
          <w:b/>
          <w:bCs/>
          <w:sz w:val="22"/>
          <w:szCs w:val="22"/>
        </w:rPr>
      </w:pPr>
    </w:p>
    <w:p w14:paraId="772EC6CC" w14:textId="03DA41AB" w:rsidR="004D35AB" w:rsidRDefault="004D35AB" w:rsidP="00A06FBD">
      <w:pPr>
        <w:pStyle w:val="Ttulo3"/>
        <w:ind w:left="426" w:hanging="426"/>
      </w:pPr>
      <w:bookmarkStart w:id="3" w:name="_Toc115248215"/>
      <w:r>
        <w:t>Ajuste razonable en espacios públicos urbanos existentes</w:t>
      </w:r>
      <w:bookmarkEnd w:id="3"/>
    </w:p>
    <w:p w14:paraId="4E857D38" w14:textId="77777777" w:rsidR="004D35AB" w:rsidRPr="004D35AB" w:rsidRDefault="004D35AB" w:rsidP="004D35AB">
      <w:pPr>
        <w:pBdr>
          <w:top w:val="nil"/>
          <w:left w:val="nil"/>
          <w:bottom w:val="nil"/>
          <w:right w:val="nil"/>
          <w:between w:val="nil"/>
        </w:pBdr>
        <w:shd w:val="clear" w:color="auto" w:fill="FFFFFF"/>
        <w:spacing w:before="180" w:after="180" w:line="276" w:lineRule="auto"/>
        <w:ind w:left="0" w:firstLine="0"/>
        <w:rPr>
          <w:rFonts w:ascii="Verdana" w:eastAsia="Verdana" w:hAnsi="Verdana" w:cs="Verdana"/>
          <w:color w:val="000000"/>
          <w:sz w:val="22"/>
          <w:szCs w:val="22"/>
        </w:rPr>
      </w:pPr>
      <w:r w:rsidRPr="004D35AB">
        <w:rPr>
          <w:rFonts w:ascii="Verdana" w:eastAsia="Verdana" w:hAnsi="Verdana" w:cs="Verdana"/>
          <w:color w:val="000000"/>
          <w:sz w:val="22"/>
          <w:szCs w:val="22"/>
        </w:rPr>
        <w:t xml:space="preserve">Tras las consideraciones anteriores, </w:t>
      </w:r>
      <w:r w:rsidRPr="004D35AB">
        <w:rPr>
          <w:rFonts w:ascii="Verdana" w:eastAsia="Verdana" w:hAnsi="Verdana" w:cs="Verdana"/>
          <w:sz w:val="22"/>
          <w:szCs w:val="22"/>
        </w:rPr>
        <w:t xml:space="preserve">se analiza ahora la aplicación del concepto ajustes razonables </w:t>
      </w:r>
      <w:r w:rsidRPr="004D35AB">
        <w:rPr>
          <w:rFonts w:ascii="Verdana" w:eastAsia="Verdana" w:hAnsi="Verdana" w:cs="Verdana"/>
          <w:color w:val="000000"/>
          <w:sz w:val="22"/>
          <w:szCs w:val="22"/>
        </w:rPr>
        <w:t xml:space="preserve">en espacios públicos urbanizados en función de </w:t>
      </w:r>
      <w:r w:rsidRPr="004D35AB">
        <w:rPr>
          <w:rFonts w:ascii="Verdana" w:eastAsia="Verdana" w:hAnsi="Verdana" w:cs="Verdana"/>
          <w:sz w:val="22"/>
          <w:szCs w:val="22"/>
        </w:rPr>
        <w:t>la normativa vigente.</w:t>
      </w:r>
    </w:p>
    <w:p w14:paraId="66B23B3B" w14:textId="77777777" w:rsidR="00A17328" w:rsidRPr="001729EF" w:rsidRDefault="00A17328" w:rsidP="00A17328">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6B9A48BC" w14:textId="77777777" w:rsidR="00A17328" w:rsidRPr="00A17328" w:rsidRDefault="00A17328" w:rsidP="00A17328">
      <w:pPr>
        <w:pStyle w:val="Citadestacada"/>
      </w:pPr>
      <w:r w:rsidRPr="00A17328">
        <w:t>La Orden VIV 561/2010 establecía lo siguiente:</w:t>
      </w:r>
    </w:p>
    <w:p w14:paraId="18E5387B" w14:textId="77777777" w:rsidR="00A17328" w:rsidRPr="00A17328" w:rsidRDefault="00A17328" w:rsidP="00A17328">
      <w:pPr>
        <w:pStyle w:val="Citadestacada"/>
        <w:rPr>
          <w:i/>
        </w:rPr>
      </w:pPr>
      <w:r w:rsidRPr="00A17328">
        <w:rPr>
          <w:i/>
        </w:rPr>
        <w:t xml:space="preserve">“En relación con los espacios públicos urbanizados ya existentes a </w:t>
      </w:r>
      <w:sdt>
        <w:sdtPr>
          <w:tag w:val="goog_rdk_2"/>
          <w:id w:val="152045412"/>
        </w:sdtPr>
        <w:sdtContent/>
      </w:sdt>
      <w:r w:rsidRPr="00A17328">
        <w:rPr>
          <w:i/>
        </w:rPr>
        <w:t xml:space="preserve">la entrada en vigor de esta Orden, los contenidos del Documento técnico </w:t>
      </w:r>
      <w:proofErr w:type="gramStart"/>
      <w:r w:rsidRPr="00A17328">
        <w:rPr>
          <w:i/>
        </w:rPr>
        <w:t>serán de aplicación</w:t>
      </w:r>
      <w:proofErr w:type="gramEnd"/>
      <w:r w:rsidRPr="00A17328">
        <w:rPr>
          <w:i/>
        </w:rPr>
        <w:t xml:space="preserve"> a partir del 1 de enero del año 2019, en aquellos que sean susceptibles de ajustes razonables, mediante las modificaciones y adaptaciones que sean necesarias y adecuadas y que no impongan una carga desproporcionada o indebida” </w:t>
      </w:r>
    </w:p>
    <w:p w14:paraId="2CB4749E" w14:textId="77777777" w:rsidR="00A17328" w:rsidRPr="00A17328" w:rsidRDefault="00A17328" w:rsidP="00A17328">
      <w:pPr>
        <w:pStyle w:val="Citadestacada"/>
      </w:pPr>
      <w:r w:rsidRPr="00A17328">
        <w:t>Los plazos de exigencia de condiciones básicas de accesibilidad fueron posteriormente modificados por el Real Decreto Legislativo 1/2013, de 29 de noviembre, por el que se aprueba el Texto Refundido de la Ley General de derechos de las personas con discapacidad y de su inclusión social, adelantando el calendario de aplicación:</w:t>
      </w:r>
    </w:p>
    <w:p w14:paraId="21EA9223" w14:textId="77777777" w:rsidR="00A17328" w:rsidRPr="00A17328" w:rsidRDefault="00A17328" w:rsidP="00A17328">
      <w:pPr>
        <w:pStyle w:val="Citadestacada"/>
      </w:pPr>
      <w:r w:rsidRPr="00A17328">
        <w:lastRenderedPageBreak/>
        <w:t xml:space="preserve">-Espacios y edificaciones nuevos: 4 de diciembre de 2010. </w:t>
      </w:r>
    </w:p>
    <w:p w14:paraId="3EF52028" w14:textId="008E493D" w:rsidR="00A17328" w:rsidRDefault="00A17328" w:rsidP="00A17328">
      <w:pPr>
        <w:pStyle w:val="Citadestacada"/>
      </w:pPr>
      <w:r w:rsidRPr="00A17328">
        <w:t xml:space="preserve">-Espacios y edificaciones existentes, susceptibles de ajustes razonables:  4 de diciembre de 2017. </w:t>
      </w:r>
    </w:p>
    <w:p w14:paraId="6D9C6985" w14:textId="77777777" w:rsidR="00A17328" w:rsidRPr="00A17328" w:rsidRDefault="00A17328" w:rsidP="00A17328"/>
    <w:p w14:paraId="00D832A0" w14:textId="77777777" w:rsidR="00A17328" w:rsidRPr="00A17328" w:rsidRDefault="00A17328" w:rsidP="00A17328">
      <w:pPr>
        <w:spacing w:before="0" w:after="160" w:line="276" w:lineRule="auto"/>
        <w:ind w:left="0" w:firstLine="0"/>
        <w:rPr>
          <w:rFonts w:ascii="Verdana" w:eastAsia="Verdana" w:hAnsi="Verdana" w:cs="Verdana"/>
          <w:sz w:val="22"/>
          <w:szCs w:val="22"/>
          <w:lang w:val="es-ES_tradnl"/>
        </w:rPr>
      </w:pPr>
      <w:r w:rsidRPr="00A17328">
        <w:rPr>
          <w:rFonts w:ascii="Verdana" w:eastAsia="Verdana" w:hAnsi="Verdana" w:cs="Verdana"/>
          <w:sz w:val="22"/>
          <w:szCs w:val="22"/>
          <w:lang w:val="es-ES_tradnl"/>
        </w:rPr>
        <w:t>En ocasiones, la indefinición jurídica del concepto “ajuste razonable” implica malas prácticas profesionales cuando se utiliza para soslayar el cumplimiento normativo. Y, lo que es aún más grave, para no promover la mejora de las condiciones de accesibilidad para todas las personas en los diferentes entornos. Esto puede conllevar situaciones de discriminación, objeto principal del cuerpo legislativo sobre la materia.</w:t>
      </w:r>
    </w:p>
    <w:p w14:paraId="39E9D097" w14:textId="77777777" w:rsidR="00A17328" w:rsidRPr="001729EF" w:rsidRDefault="00A17328" w:rsidP="00A17328">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1EBE2D8F" w14:textId="77777777" w:rsidR="00A17328" w:rsidRPr="00A17328" w:rsidRDefault="00A17328" w:rsidP="00A17328">
      <w:pPr>
        <w:pStyle w:val="Citadestacada"/>
      </w:pPr>
      <w:r w:rsidRPr="00A17328">
        <w:rPr>
          <w:b/>
        </w:rPr>
        <w:t>Debe evitarse emplear el término “ajuste razonable” como un pretexto</w:t>
      </w:r>
      <w:r w:rsidRPr="00A17328">
        <w:t xml:space="preserve"> para no aplicar los parámetros mínimos establecidos por la normativa de accesibilidad.</w:t>
      </w:r>
    </w:p>
    <w:p w14:paraId="00E68226" w14:textId="77777777" w:rsidR="00A17328" w:rsidRPr="00A17328" w:rsidRDefault="00A17328" w:rsidP="00A17328">
      <w:pPr>
        <w:pStyle w:val="Citadestacada"/>
      </w:pPr>
      <w:r w:rsidRPr="00A17328">
        <w:rPr>
          <w:b/>
        </w:rPr>
        <w:t>La normativa técnica en materia de accesibilidad universal representa un umbral mínimo</w:t>
      </w:r>
      <w:r w:rsidRPr="00A17328">
        <w:t xml:space="preserve">. En algunos entornos urbanos consolidados puede ser difícilmente alcanzable, pero en entornos urbanos de alta demanda podría ser insuficiente. </w:t>
      </w:r>
    </w:p>
    <w:p w14:paraId="261B8BF3" w14:textId="77777777" w:rsidR="00A17328" w:rsidRPr="00A17328" w:rsidRDefault="00A17328" w:rsidP="00A17328">
      <w:pPr>
        <w:pStyle w:val="Citadestacada"/>
      </w:pPr>
      <w:r w:rsidRPr="00A17328">
        <w:t>El concepto de ajustes razonables no debe utilizarse como “justificación” cuando es difícil alcanzar los requerimientos normativos. Al contrario, debe usarse como impulso para situaciones en que deben superarse ampliamente los parámetros normativos para responder adecuadamente a las necesidades de los usuarios.</w:t>
      </w:r>
    </w:p>
    <w:p w14:paraId="780158A2" w14:textId="6A8D9843" w:rsidR="00A17328" w:rsidRDefault="00A17328" w:rsidP="00A17328">
      <w:pPr>
        <w:pStyle w:val="Citadestacada"/>
        <w:rPr>
          <w:b/>
          <w:bCs/>
          <w:szCs w:val="22"/>
          <w:lang w:val="es-ES_tradnl"/>
        </w:rPr>
      </w:pPr>
    </w:p>
    <w:p w14:paraId="1D230E3E" w14:textId="64E6345E" w:rsidR="00BD5B3B" w:rsidRPr="00A17328" w:rsidRDefault="00A17328" w:rsidP="00A17328">
      <w:pPr>
        <w:spacing w:before="0" w:after="160" w:line="276" w:lineRule="auto"/>
        <w:ind w:left="0" w:firstLine="0"/>
        <w:rPr>
          <w:rFonts w:ascii="Verdana" w:eastAsia="Verdana" w:hAnsi="Verdana" w:cs="Verdana"/>
          <w:sz w:val="22"/>
          <w:szCs w:val="22"/>
          <w:lang w:val="es-ES_tradnl"/>
        </w:rPr>
      </w:pPr>
      <w:r w:rsidRPr="00A17328">
        <w:rPr>
          <w:rFonts w:ascii="Verdana" w:eastAsia="Verdana" w:hAnsi="Verdana" w:cs="Verdana"/>
          <w:sz w:val="22"/>
          <w:szCs w:val="22"/>
          <w:lang w:val="es-ES_tradnl"/>
        </w:rPr>
        <w:t xml:space="preserve">Una forma de evitar esas malas prácticas es hacer una adaptación efectiva del entorno. Se llevaría a cabo mediante la </w:t>
      </w:r>
      <w:r w:rsidRPr="00A17328">
        <w:rPr>
          <w:rFonts w:ascii="Verdana" w:eastAsia="Verdana" w:hAnsi="Verdana" w:cs="Verdana"/>
          <w:b/>
          <w:sz w:val="22"/>
          <w:szCs w:val="22"/>
          <w:lang w:val="es-ES_tradnl"/>
        </w:rPr>
        <w:t>reinterpretación y el análisis previo del espacio urbano y sus usos</w:t>
      </w:r>
      <w:r w:rsidRPr="00A17328">
        <w:rPr>
          <w:rFonts w:ascii="Verdana" w:eastAsia="Verdana" w:hAnsi="Verdana" w:cs="Verdana"/>
          <w:sz w:val="22"/>
          <w:szCs w:val="22"/>
          <w:lang w:val="es-ES_tradnl"/>
        </w:rPr>
        <w:t>. Esto permitiría implementar las soluciones recogidas en este manual, sin tener que recurrir a diseños alternativos que impliquen una rebaja en las condiciones de accesibilidad establecidas en la vigente normativa.</w:t>
      </w:r>
    </w:p>
    <w:p w14:paraId="72286534" w14:textId="77777777" w:rsidR="00A17328" w:rsidRPr="00A17328" w:rsidRDefault="00A17328" w:rsidP="00A17328">
      <w:pPr>
        <w:spacing w:before="0" w:after="160" w:line="276" w:lineRule="auto"/>
        <w:ind w:left="0" w:firstLine="0"/>
        <w:rPr>
          <w:rFonts w:ascii="Verdana" w:eastAsia="Verdana" w:hAnsi="Verdana" w:cs="Verdana"/>
          <w:sz w:val="22"/>
          <w:szCs w:val="22"/>
          <w:lang w:val="es-ES_tradnl"/>
        </w:rPr>
      </w:pPr>
      <w:r w:rsidRPr="00A17328">
        <w:rPr>
          <w:rFonts w:ascii="Verdana" w:eastAsia="Verdana" w:hAnsi="Verdana" w:cs="Verdana"/>
          <w:sz w:val="22"/>
          <w:szCs w:val="22"/>
          <w:lang w:val="es-ES_tradnl"/>
        </w:rPr>
        <w:t xml:space="preserve">En este </w:t>
      </w:r>
      <w:r w:rsidRPr="00A17328">
        <w:rPr>
          <w:rFonts w:ascii="Verdana" w:eastAsia="Verdana" w:hAnsi="Verdana" w:cs="Verdana"/>
          <w:b/>
          <w:sz w:val="22"/>
          <w:szCs w:val="22"/>
          <w:lang w:val="es-ES_tradnl"/>
        </w:rPr>
        <w:t>análisis previo</w:t>
      </w:r>
      <w:r w:rsidRPr="00A17328">
        <w:rPr>
          <w:rFonts w:ascii="Verdana" w:eastAsia="Verdana" w:hAnsi="Verdana" w:cs="Verdana"/>
          <w:sz w:val="22"/>
          <w:szCs w:val="22"/>
          <w:lang w:val="es-ES_tradnl"/>
        </w:rPr>
        <w:t xml:space="preserve"> se debe abordar:</w:t>
      </w:r>
    </w:p>
    <w:p w14:paraId="034D0730" w14:textId="62BE1A63" w:rsidR="004D35AB" w:rsidRPr="00E77CC8" w:rsidRDefault="004D35AB" w:rsidP="004D35AB">
      <w:pPr>
        <w:pStyle w:val="Prrafodelista"/>
        <w:numPr>
          <w:ilvl w:val="0"/>
          <w:numId w:val="16"/>
        </w:numPr>
        <w:jc w:val="both"/>
        <w:rPr>
          <w:rFonts w:ascii="Verdana" w:eastAsia="Verdana" w:hAnsi="Verdana" w:cs="Verdana"/>
          <w:b/>
          <w:sz w:val="22"/>
          <w:szCs w:val="22"/>
        </w:rPr>
      </w:pPr>
      <w:r w:rsidRPr="00E77CC8">
        <w:rPr>
          <w:rFonts w:ascii="Verdana" w:eastAsia="Verdana" w:hAnsi="Verdana" w:cs="Verdana"/>
          <w:b/>
          <w:sz w:val="22"/>
          <w:szCs w:val="22"/>
        </w:rPr>
        <w:t>Análisis y reordenación del espacio disponible</w:t>
      </w:r>
    </w:p>
    <w:p w14:paraId="237031B4" w14:textId="77777777" w:rsidR="004D35AB" w:rsidRPr="004D35AB" w:rsidRDefault="004D35AB" w:rsidP="004D35AB">
      <w:pPr>
        <w:spacing w:line="276" w:lineRule="auto"/>
        <w:ind w:left="0" w:firstLine="0"/>
        <w:rPr>
          <w:rFonts w:ascii="Verdana" w:eastAsia="Verdana" w:hAnsi="Verdana" w:cs="Verdana"/>
          <w:sz w:val="22"/>
          <w:szCs w:val="22"/>
        </w:rPr>
      </w:pPr>
      <w:r w:rsidRPr="004D35AB">
        <w:rPr>
          <w:rFonts w:ascii="Verdana" w:eastAsia="Verdana" w:hAnsi="Verdana" w:cs="Verdana"/>
          <w:sz w:val="22"/>
          <w:szCs w:val="22"/>
        </w:rPr>
        <w:t xml:space="preserve">Es la parte más importante del estudio del espacio urbano y tiene como objetivo mejorar sus condiciones de accesibilidad. Disponer o </w:t>
      </w:r>
      <w:r w:rsidRPr="004D35AB">
        <w:rPr>
          <w:rFonts w:ascii="Verdana" w:eastAsia="Verdana" w:hAnsi="Verdana" w:cs="Verdana"/>
          <w:b/>
          <w:sz w:val="22"/>
          <w:szCs w:val="22"/>
        </w:rPr>
        <w:t>habilitar el espacio suficiente</w:t>
      </w:r>
      <w:r w:rsidRPr="004D35AB">
        <w:rPr>
          <w:rFonts w:ascii="Verdana" w:eastAsia="Verdana" w:hAnsi="Verdana" w:cs="Verdana"/>
          <w:sz w:val="22"/>
          <w:szCs w:val="22"/>
        </w:rPr>
        <w:t xml:space="preserve"> para acometer las reformas necesarias facilitará bastante la tarea.</w:t>
      </w:r>
    </w:p>
    <w:p w14:paraId="222F7EAA" w14:textId="77777777" w:rsidR="004D35AB" w:rsidRPr="004D35AB" w:rsidRDefault="004D35AB" w:rsidP="004D35AB">
      <w:pPr>
        <w:spacing w:line="276" w:lineRule="auto"/>
        <w:ind w:left="0" w:firstLine="0"/>
        <w:rPr>
          <w:rFonts w:ascii="Verdana" w:eastAsia="Verdana" w:hAnsi="Verdana" w:cs="Verdana"/>
          <w:sz w:val="22"/>
          <w:szCs w:val="22"/>
        </w:rPr>
      </w:pPr>
      <w:r w:rsidRPr="004D35AB">
        <w:rPr>
          <w:rFonts w:ascii="Verdana" w:eastAsia="Verdana" w:hAnsi="Verdana" w:cs="Verdana"/>
          <w:sz w:val="22"/>
          <w:szCs w:val="22"/>
        </w:rPr>
        <w:t xml:space="preserve">Sin embargo, en muchas ocasiones este espacio se encuentra organizado y no se puede aprovechar por completo. Sucede especialmente a la hora de priorizar la </w:t>
      </w:r>
      <w:r w:rsidRPr="004D35AB">
        <w:rPr>
          <w:rFonts w:ascii="Verdana" w:eastAsia="Verdana" w:hAnsi="Verdana" w:cs="Verdana"/>
          <w:sz w:val="22"/>
          <w:szCs w:val="22"/>
        </w:rPr>
        <w:lastRenderedPageBreak/>
        <w:t>generación de itinerarios peatonales accesibles. Es el caso de viales en los que se replantea el ancho y el número de carriles para el tráfico de vehículos. Se puede reconsiderar la necesidad de alineaciones de aparcamiento anexas a las aceras, con la posibilidad de ceder parte de ese espacio al área peatonal.</w:t>
      </w:r>
    </w:p>
    <w:p w14:paraId="320734FD" w14:textId="423F8FD1" w:rsidR="004D35AB" w:rsidRDefault="004D35AB" w:rsidP="004D35AB">
      <w:pPr>
        <w:spacing w:line="276" w:lineRule="auto"/>
        <w:ind w:left="0" w:firstLine="0"/>
        <w:rPr>
          <w:rFonts w:ascii="Verdana" w:eastAsia="Verdana" w:hAnsi="Verdana" w:cs="Verdana"/>
          <w:sz w:val="22"/>
          <w:szCs w:val="22"/>
        </w:rPr>
      </w:pPr>
      <w:r w:rsidRPr="004D35AB">
        <w:rPr>
          <w:rFonts w:ascii="Verdana" w:eastAsia="Verdana" w:hAnsi="Verdana" w:cs="Verdana"/>
          <w:sz w:val="22"/>
          <w:szCs w:val="22"/>
        </w:rPr>
        <w:t>Este tipo de operaciones exigen intervenciones de mayor calado en la trama urbana. Así, implican replantear la ubicación y el desarrollo de cada una de las “bandas” de uso diferenciado mencionadas en los capítulos</w:t>
      </w:r>
      <w:r>
        <w:rPr>
          <w:rFonts w:ascii="Verdana" w:eastAsia="Verdana" w:hAnsi="Verdana" w:cs="Verdana"/>
          <w:sz w:val="22"/>
          <w:szCs w:val="22"/>
        </w:rPr>
        <w:t xml:space="preserve"> 1 “Itinerarios peatonales accesibles” y 4 “Mobiliario y equipamiento urbano”</w:t>
      </w:r>
    </w:p>
    <w:p w14:paraId="1B7D26EF" w14:textId="2B4B68C8" w:rsidR="004D35AB" w:rsidRDefault="004D35AB" w:rsidP="004D35AB">
      <w:pPr>
        <w:spacing w:line="276" w:lineRule="auto"/>
        <w:ind w:left="0" w:firstLine="0"/>
        <w:rPr>
          <w:rFonts w:ascii="Verdana" w:eastAsia="Verdana" w:hAnsi="Verdana" w:cs="Verdana"/>
          <w:sz w:val="22"/>
          <w:szCs w:val="22"/>
        </w:rPr>
      </w:pPr>
    </w:p>
    <w:p w14:paraId="71FB6CBB" w14:textId="081220EE" w:rsidR="004D35AB" w:rsidRPr="00E77CC8" w:rsidRDefault="004D35AB" w:rsidP="004D35AB">
      <w:pPr>
        <w:pStyle w:val="Prrafodelista"/>
        <w:numPr>
          <w:ilvl w:val="0"/>
          <w:numId w:val="16"/>
        </w:numPr>
        <w:jc w:val="both"/>
        <w:rPr>
          <w:rFonts w:ascii="Verdana" w:eastAsia="Verdana" w:hAnsi="Verdana" w:cs="Verdana"/>
          <w:b/>
          <w:sz w:val="22"/>
          <w:szCs w:val="22"/>
        </w:rPr>
      </w:pPr>
      <w:r w:rsidRPr="00E77CC8">
        <w:rPr>
          <w:rFonts w:ascii="Verdana" w:eastAsia="Verdana" w:hAnsi="Verdana" w:cs="Verdana"/>
          <w:b/>
          <w:sz w:val="22"/>
          <w:szCs w:val="22"/>
        </w:rPr>
        <w:t>Análisis y reubicación de los elementos urbanos existentes</w:t>
      </w:r>
    </w:p>
    <w:p w14:paraId="62DD045A" w14:textId="77777777" w:rsidR="004D35AB" w:rsidRPr="004D35AB" w:rsidRDefault="004D35AB" w:rsidP="004D35AB">
      <w:pPr>
        <w:spacing w:line="276" w:lineRule="auto"/>
        <w:ind w:left="142" w:firstLine="0"/>
        <w:rPr>
          <w:rFonts w:ascii="Verdana" w:eastAsia="Verdana" w:hAnsi="Verdana" w:cs="Verdana"/>
          <w:sz w:val="22"/>
          <w:szCs w:val="22"/>
        </w:rPr>
      </w:pPr>
      <w:r w:rsidRPr="004D35AB">
        <w:rPr>
          <w:rFonts w:ascii="Verdana" w:eastAsia="Verdana" w:hAnsi="Verdana" w:cs="Verdana"/>
          <w:sz w:val="22"/>
          <w:szCs w:val="22"/>
        </w:rPr>
        <w:t>En ocasiones hay espacio suficiente para actuar, pero el mobiliario urbano (por su disposición o abundancia) impide el desarrollo de itinerarios peatonales accesibles que comuniquen los distintos usos de un entorno urbano.</w:t>
      </w:r>
    </w:p>
    <w:p w14:paraId="53FCE19D" w14:textId="77777777" w:rsidR="004D35AB" w:rsidRPr="004D35AB" w:rsidRDefault="004D35AB" w:rsidP="004D35AB">
      <w:pPr>
        <w:spacing w:line="276" w:lineRule="auto"/>
        <w:ind w:left="142" w:firstLine="0"/>
        <w:rPr>
          <w:rFonts w:ascii="Verdana" w:eastAsia="Verdana" w:hAnsi="Verdana" w:cs="Verdana"/>
          <w:sz w:val="22"/>
          <w:szCs w:val="22"/>
        </w:rPr>
      </w:pPr>
      <w:r w:rsidRPr="004D35AB">
        <w:rPr>
          <w:rFonts w:ascii="Verdana" w:eastAsia="Verdana" w:hAnsi="Verdana" w:cs="Verdana"/>
          <w:sz w:val="22"/>
          <w:szCs w:val="22"/>
        </w:rPr>
        <w:t xml:space="preserve">Suele ser el caso de </w:t>
      </w:r>
      <w:r w:rsidRPr="004D35AB">
        <w:rPr>
          <w:rFonts w:ascii="Verdana" w:eastAsia="Verdana" w:hAnsi="Verdana" w:cs="Verdana"/>
          <w:b/>
          <w:sz w:val="22"/>
          <w:szCs w:val="22"/>
        </w:rPr>
        <w:t>plazas y espacios abiertos</w:t>
      </w:r>
      <w:r w:rsidRPr="004D35AB">
        <w:rPr>
          <w:rFonts w:ascii="Verdana" w:eastAsia="Verdana" w:hAnsi="Verdana" w:cs="Verdana"/>
          <w:sz w:val="22"/>
          <w:szCs w:val="22"/>
        </w:rPr>
        <w:t xml:space="preserve"> en las que las posibilidades de trazado de itinerarios aumentan considerablemente (a diferencia de las calles, donde la circulación peatonal se realiza preferentemente en una única dirección).</w:t>
      </w:r>
    </w:p>
    <w:p w14:paraId="2768139C" w14:textId="27D80268" w:rsidR="004D35AB" w:rsidRDefault="004D35AB" w:rsidP="004D35AB">
      <w:pPr>
        <w:spacing w:line="276" w:lineRule="auto"/>
        <w:ind w:left="142" w:firstLine="0"/>
        <w:rPr>
          <w:rFonts w:ascii="Verdana" w:eastAsia="Verdana" w:hAnsi="Verdana" w:cs="Verdana"/>
          <w:sz w:val="22"/>
          <w:szCs w:val="22"/>
        </w:rPr>
      </w:pPr>
      <w:r w:rsidRPr="004D35AB">
        <w:rPr>
          <w:rFonts w:ascii="Verdana" w:eastAsia="Verdana" w:hAnsi="Verdana" w:cs="Verdana"/>
          <w:sz w:val="22"/>
          <w:szCs w:val="22"/>
        </w:rPr>
        <w:t>Hay que preguntarse entonces si el mobiliario existente es necesario o puede reducirse. Al mismo tiempo, este se debe agrupar para generar espacios claramente diferenciados para circulación, áreas estanciales de permanencia o incluso otros usos asociados, como conexiones con el transporte público, acceso a edificios, terrazas o espacios de venta en la vía pública.</w:t>
      </w:r>
    </w:p>
    <w:p w14:paraId="24E12799" w14:textId="77777777" w:rsidR="004D35AB" w:rsidRPr="004D35AB" w:rsidRDefault="004D35AB" w:rsidP="004D35AB">
      <w:pPr>
        <w:spacing w:line="276" w:lineRule="auto"/>
        <w:ind w:left="142" w:firstLine="0"/>
        <w:rPr>
          <w:rFonts w:ascii="Verdana" w:eastAsia="Verdana" w:hAnsi="Verdana" w:cs="Verdana"/>
          <w:sz w:val="22"/>
          <w:szCs w:val="22"/>
        </w:rPr>
      </w:pPr>
    </w:p>
    <w:p w14:paraId="433E7DFF" w14:textId="3A85FFBC" w:rsidR="004D35AB" w:rsidRPr="00B83EB0" w:rsidRDefault="004D35AB" w:rsidP="004D35AB">
      <w:pPr>
        <w:pStyle w:val="Prrafodelista"/>
        <w:numPr>
          <w:ilvl w:val="0"/>
          <w:numId w:val="16"/>
        </w:numPr>
        <w:jc w:val="both"/>
        <w:rPr>
          <w:rFonts w:ascii="Verdana" w:eastAsia="Verdana" w:hAnsi="Verdana" w:cs="Verdana"/>
          <w:b/>
          <w:sz w:val="22"/>
          <w:szCs w:val="22"/>
        </w:rPr>
      </w:pPr>
      <w:r w:rsidRPr="00B83EB0">
        <w:rPr>
          <w:rFonts w:ascii="Verdana" w:eastAsia="Verdana" w:hAnsi="Verdana" w:cs="Verdana"/>
          <w:b/>
          <w:sz w:val="22"/>
          <w:szCs w:val="22"/>
        </w:rPr>
        <w:t>Modificación y optimización de los usos</w:t>
      </w:r>
    </w:p>
    <w:p w14:paraId="0365536D" w14:textId="77777777" w:rsidR="004D35AB" w:rsidRPr="004D35AB" w:rsidRDefault="004D35AB" w:rsidP="004D35AB">
      <w:pPr>
        <w:spacing w:line="276" w:lineRule="auto"/>
        <w:ind w:left="0" w:firstLine="0"/>
        <w:rPr>
          <w:rFonts w:ascii="Verdana" w:eastAsia="Verdana" w:hAnsi="Verdana" w:cs="Verdana"/>
          <w:sz w:val="22"/>
          <w:szCs w:val="22"/>
        </w:rPr>
      </w:pPr>
      <w:r w:rsidRPr="004D35AB">
        <w:rPr>
          <w:rFonts w:ascii="Verdana" w:eastAsia="Verdana" w:hAnsi="Verdana" w:cs="Verdana"/>
          <w:sz w:val="22"/>
          <w:szCs w:val="22"/>
        </w:rPr>
        <w:t xml:space="preserve">Antes de reformar un entorno urbano hay que conocer </w:t>
      </w:r>
      <w:r w:rsidRPr="004D35AB">
        <w:rPr>
          <w:rFonts w:ascii="Verdana" w:eastAsia="Verdana" w:hAnsi="Verdana" w:cs="Verdana"/>
          <w:b/>
          <w:sz w:val="22"/>
          <w:szCs w:val="22"/>
        </w:rPr>
        <w:t xml:space="preserve">cómo lo usan las personas. </w:t>
      </w:r>
      <w:r w:rsidRPr="004D35AB">
        <w:rPr>
          <w:rFonts w:ascii="Verdana" w:eastAsia="Verdana" w:hAnsi="Verdana" w:cs="Verdana"/>
          <w:sz w:val="22"/>
          <w:szCs w:val="22"/>
        </w:rPr>
        <w:t>Así, es imprescindible saber:</w:t>
      </w:r>
    </w:p>
    <w:p w14:paraId="613E41AE" w14:textId="77777777" w:rsidR="004D35AB" w:rsidRPr="004D35AB" w:rsidRDefault="004D35AB" w:rsidP="004D35AB">
      <w:pPr>
        <w:numPr>
          <w:ilvl w:val="0"/>
          <w:numId w:val="18"/>
        </w:numPr>
        <w:spacing w:before="0" w:after="0" w:line="276" w:lineRule="auto"/>
        <w:rPr>
          <w:rFonts w:ascii="Verdana" w:eastAsia="Verdana" w:hAnsi="Verdana" w:cs="Verdana"/>
          <w:sz w:val="22"/>
          <w:szCs w:val="22"/>
        </w:rPr>
      </w:pPr>
      <w:r w:rsidRPr="004D35AB">
        <w:rPr>
          <w:rFonts w:ascii="Verdana" w:eastAsia="Verdana" w:hAnsi="Verdana" w:cs="Verdana"/>
          <w:sz w:val="22"/>
          <w:szCs w:val="22"/>
        </w:rPr>
        <w:t>las demandas de espacio en función de aforos y usos</w:t>
      </w:r>
    </w:p>
    <w:p w14:paraId="2C6A9C2F" w14:textId="77777777" w:rsidR="004D35AB" w:rsidRPr="004D35AB" w:rsidRDefault="004D35AB" w:rsidP="004D35AB">
      <w:pPr>
        <w:numPr>
          <w:ilvl w:val="0"/>
          <w:numId w:val="18"/>
        </w:numPr>
        <w:spacing w:before="0" w:after="0" w:line="276" w:lineRule="auto"/>
        <w:rPr>
          <w:rFonts w:ascii="Verdana" w:eastAsia="Verdana" w:hAnsi="Verdana" w:cs="Verdana"/>
          <w:sz w:val="22"/>
          <w:szCs w:val="22"/>
        </w:rPr>
      </w:pPr>
      <w:r w:rsidRPr="004D35AB">
        <w:rPr>
          <w:rFonts w:ascii="Verdana" w:eastAsia="Verdana" w:hAnsi="Verdana" w:cs="Verdana"/>
          <w:sz w:val="22"/>
          <w:szCs w:val="22"/>
        </w:rPr>
        <w:t>las estrategias de movilidad</w:t>
      </w:r>
    </w:p>
    <w:p w14:paraId="10F6871A" w14:textId="77777777" w:rsidR="004D35AB" w:rsidRPr="004D35AB" w:rsidRDefault="004D35AB" w:rsidP="004D35AB">
      <w:pPr>
        <w:numPr>
          <w:ilvl w:val="0"/>
          <w:numId w:val="18"/>
        </w:numPr>
        <w:spacing w:before="0" w:after="0" w:line="276" w:lineRule="auto"/>
        <w:rPr>
          <w:rFonts w:ascii="Verdana" w:eastAsia="Verdana" w:hAnsi="Verdana" w:cs="Verdana"/>
          <w:sz w:val="22"/>
          <w:szCs w:val="22"/>
        </w:rPr>
      </w:pPr>
      <w:r w:rsidRPr="004D35AB">
        <w:rPr>
          <w:rFonts w:ascii="Verdana" w:eastAsia="Verdana" w:hAnsi="Verdana" w:cs="Verdana"/>
          <w:sz w:val="22"/>
          <w:szCs w:val="22"/>
        </w:rPr>
        <w:t>las prioridades establecidas</w:t>
      </w:r>
    </w:p>
    <w:p w14:paraId="5CA9A39F" w14:textId="77777777" w:rsidR="004D35AB" w:rsidRPr="004D35AB" w:rsidRDefault="004D35AB" w:rsidP="004D35AB">
      <w:pPr>
        <w:numPr>
          <w:ilvl w:val="0"/>
          <w:numId w:val="18"/>
        </w:numPr>
        <w:spacing w:before="0" w:after="160" w:line="276" w:lineRule="auto"/>
        <w:rPr>
          <w:rFonts w:ascii="Verdana" w:eastAsia="Verdana" w:hAnsi="Verdana" w:cs="Verdana"/>
          <w:sz w:val="22"/>
          <w:szCs w:val="22"/>
        </w:rPr>
      </w:pPr>
      <w:r w:rsidRPr="004D35AB">
        <w:rPr>
          <w:rFonts w:ascii="Verdana" w:eastAsia="Verdana" w:hAnsi="Verdana" w:cs="Verdana"/>
          <w:sz w:val="22"/>
          <w:szCs w:val="22"/>
        </w:rPr>
        <w:t>la posibilidad de compartir o segregar usos para alcanzar una relación óptima entre estos y el número y las necesidades de los usuarios y el espacio disponible</w:t>
      </w:r>
    </w:p>
    <w:p w14:paraId="72F6E6EC" w14:textId="77777777" w:rsidR="004D35AB" w:rsidRPr="004D35AB" w:rsidRDefault="004D35AB" w:rsidP="004D35AB">
      <w:pPr>
        <w:spacing w:line="276" w:lineRule="auto"/>
        <w:ind w:left="0" w:firstLine="0"/>
        <w:rPr>
          <w:rFonts w:ascii="Verdana" w:eastAsia="Verdana" w:hAnsi="Verdana" w:cs="Verdana"/>
          <w:sz w:val="22"/>
          <w:szCs w:val="22"/>
        </w:rPr>
      </w:pPr>
      <w:r w:rsidRPr="004D35AB">
        <w:rPr>
          <w:rFonts w:ascii="Verdana" w:eastAsia="Verdana" w:hAnsi="Verdana" w:cs="Verdana"/>
          <w:sz w:val="22"/>
          <w:szCs w:val="22"/>
        </w:rPr>
        <w:t xml:space="preserve">Las soluciones propuestas a partir de estos datos iniciales favorecerán de manera notable la accesibilidad en el entorno. También facilitarán la implantación de las </w:t>
      </w:r>
      <w:r w:rsidRPr="004D35AB">
        <w:rPr>
          <w:rFonts w:ascii="Verdana" w:eastAsia="Verdana" w:hAnsi="Verdana" w:cs="Verdana"/>
          <w:b/>
          <w:sz w:val="22"/>
          <w:szCs w:val="22"/>
        </w:rPr>
        <w:t>medidas específicas de accesibilidad</w:t>
      </w:r>
      <w:r w:rsidRPr="004D35AB">
        <w:rPr>
          <w:rFonts w:ascii="Verdana" w:eastAsia="Verdana" w:hAnsi="Verdana" w:cs="Verdana"/>
          <w:sz w:val="22"/>
          <w:szCs w:val="22"/>
        </w:rPr>
        <w:t xml:space="preserve"> que fueran necesarias.</w:t>
      </w:r>
    </w:p>
    <w:p w14:paraId="41B0AEC1" w14:textId="5578DF33" w:rsidR="004D35AB" w:rsidRDefault="004D35AB" w:rsidP="004D35AB">
      <w:pPr>
        <w:spacing w:line="276" w:lineRule="auto"/>
        <w:ind w:left="0" w:firstLine="0"/>
        <w:rPr>
          <w:rFonts w:ascii="Verdana" w:eastAsia="Verdana" w:hAnsi="Verdana" w:cs="Verdana"/>
          <w:sz w:val="22"/>
          <w:szCs w:val="22"/>
        </w:rPr>
      </w:pPr>
      <w:r w:rsidRPr="004D35AB">
        <w:rPr>
          <w:rFonts w:ascii="Verdana" w:eastAsia="Verdana" w:hAnsi="Verdana" w:cs="Verdana"/>
          <w:sz w:val="22"/>
          <w:szCs w:val="22"/>
        </w:rPr>
        <w:t xml:space="preserve">Es difícil aventurar el éxito de las decisiones adoptadas para modificar el espacio público. En ello influyen la complejidad de la trama urbana y la diversidad de actores intervinientes. Esto ha llevado a que en los últimos años algunas ciudades (como Nueva York) realicen </w:t>
      </w:r>
      <w:r w:rsidRPr="004D35AB">
        <w:rPr>
          <w:rFonts w:ascii="Verdana" w:eastAsia="Verdana" w:hAnsi="Verdana" w:cs="Verdana"/>
          <w:b/>
          <w:sz w:val="22"/>
          <w:szCs w:val="22"/>
        </w:rPr>
        <w:t>actuaciones “de prueba”.</w:t>
      </w:r>
      <w:r w:rsidRPr="004D35AB">
        <w:rPr>
          <w:rFonts w:ascii="Verdana" w:eastAsia="Verdana" w:hAnsi="Verdana" w:cs="Verdana"/>
          <w:sz w:val="22"/>
          <w:szCs w:val="22"/>
        </w:rPr>
        <w:t xml:space="preserve"> En ellas materializan la reordenación de espacios y usos con materiales de bajo coste y fácilmente </w:t>
      </w:r>
      <w:r w:rsidRPr="004D35AB">
        <w:rPr>
          <w:rFonts w:ascii="Verdana" w:eastAsia="Verdana" w:hAnsi="Verdana" w:cs="Verdana"/>
          <w:sz w:val="22"/>
          <w:szCs w:val="22"/>
        </w:rPr>
        <w:lastRenderedPageBreak/>
        <w:t xml:space="preserve">removibles (el llamado </w:t>
      </w:r>
      <w:r w:rsidRPr="004D35AB">
        <w:rPr>
          <w:rFonts w:ascii="Verdana" w:eastAsia="Verdana" w:hAnsi="Verdana" w:cs="Verdana"/>
          <w:i/>
          <w:sz w:val="22"/>
          <w:szCs w:val="22"/>
        </w:rPr>
        <w:t>urbanismo táctico</w:t>
      </w:r>
      <w:r w:rsidRPr="004D35AB">
        <w:rPr>
          <w:rFonts w:ascii="Verdana" w:eastAsia="Verdana" w:hAnsi="Verdana" w:cs="Verdana"/>
          <w:sz w:val="22"/>
          <w:szCs w:val="22"/>
        </w:rPr>
        <w:t>). La experiencia de uso lleva a afinar el diseño antes de concluir la actuación con elementos definitivos</w:t>
      </w:r>
      <w:r w:rsidR="00221ECF">
        <w:rPr>
          <w:rFonts w:ascii="Verdana" w:eastAsia="Verdana" w:hAnsi="Verdana" w:cs="Verdana"/>
          <w:sz w:val="22"/>
          <w:szCs w:val="22"/>
        </w:rPr>
        <w:t>.</w:t>
      </w:r>
    </w:p>
    <w:p w14:paraId="19179AB2" w14:textId="77777777" w:rsidR="005207A1" w:rsidRDefault="005207A1" w:rsidP="004D35AB">
      <w:pPr>
        <w:spacing w:line="276" w:lineRule="auto"/>
        <w:ind w:left="0" w:firstLine="0"/>
        <w:rPr>
          <w:rFonts w:ascii="Verdana" w:eastAsia="Verdana" w:hAnsi="Verdana" w:cs="Verdana"/>
          <w:sz w:val="22"/>
          <w:szCs w:val="22"/>
        </w:rPr>
      </w:pPr>
    </w:p>
    <w:p w14:paraId="0D831E7B" w14:textId="527C1866" w:rsidR="00221ECF" w:rsidRDefault="00221ECF" w:rsidP="004D35AB">
      <w:pPr>
        <w:spacing w:line="276" w:lineRule="auto"/>
        <w:ind w:left="0" w:firstLine="0"/>
        <w:rPr>
          <w:rFonts w:ascii="Verdana" w:eastAsia="Verdana" w:hAnsi="Verdana" w:cs="Verdana"/>
          <w:b/>
          <w:sz w:val="22"/>
          <w:szCs w:val="22"/>
        </w:rPr>
      </w:pPr>
      <w:r>
        <w:rPr>
          <w:noProof/>
        </w:rPr>
        <w:drawing>
          <wp:inline distT="0" distB="0" distL="0" distR="0" wp14:anchorId="62CB58EE" wp14:editId="53092A8C">
            <wp:extent cx="5043600" cy="3081600"/>
            <wp:effectExtent l="0" t="0" r="0" b="5080"/>
            <wp:docPr id="26"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6" name="image3.jpg">
                      <a:extLst>
                        <a:ext uri="{C183D7F6-B498-43B3-948B-1728B52AA6E4}">
                          <adec:decorative xmlns:adec="http://schemas.microsoft.com/office/drawing/2017/decorative" val="1"/>
                        </a:ext>
                      </a:extLst>
                    </pic:cNvPr>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043600" cy="3081600"/>
                    </a:xfrm>
                    <a:prstGeom prst="rect">
                      <a:avLst/>
                    </a:prstGeom>
                    <a:ln/>
                  </pic:spPr>
                </pic:pic>
              </a:graphicData>
            </a:graphic>
          </wp:inline>
        </w:drawing>
      </w:r>
    </w:p>
    <w:p w14:paraId="7DC0D4D2" w14:textId="7796ADD7" w:rsidR="00221ECF" w:rsidRDefault="00221ECF" w:rsidP="004D35AB">
      <w:pPr>
        <w:spacing w:line="276" w:lineRule="auto"/>
        <w:ind w:left="0" w:firstLine="0"/>
        <w:rPr>
          <w:rFonts w:ascii="Verdana" w:eastAsia="Verdana" w:hAnsi="Verdana" w:cs="Verdana"/>
          <w:b/>
          <w:sz w:val="22"/>
          <w:szCs w:val="22"/>
        </w:rPr>
      </w:pPr>
      <w:r>
        <w:rPr>
          <w:rFonts w:ascii="Verdana" w:eastAsia="Verdana" w:hAnsi="Verdana" w:cs="Verdana"/>
          <w:noProof/>
          <w:sz w:val="18"/>
          <w:szCs w:val="18"/>
        </w:rPr>
        <w:drawing>
          <wp:inline distT="0" distB="0" distL="0" distR="0" wp14:anchorId="596EFA9B" wp14:editId="21B22B9B">
            <wp:extent cx="5850890" cy="3291047"/>
            <wp:effectExtent l="0" t="0" r="3810" b="0"/>
            <wp:docPr id="34"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4" name="image4.jp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5850890" cy="3291047"/>
                    </a:xfrm>
                    <a:prstGeom prst="rect">
                      <a:avLst/>
                    </a:prstGeom>
                    <a:ln/>
                  </pic:spPr>
                </pic:pic>
              </a:graphicData>
            </a:graphic>
          </wp:inline>
        </w:drawing>
      </w:r>
    </w:p>
    <w:p w14:paraId="6849E518" w14:textId="3996591C" w:rsidR="00221ECF" w:rsidRDefault="00221ECF" w:rsidP="00DD38A5">
      <w:pPr>
        <w:spacing w:line="276" w:lineRule="auto"/>
        <w:ind w:left="0" w:firstLine="0"/>
        <w:rPr>
          <w:rFonts w:ascii="Verdana" w:eastAsia="Verdana" w:hAnsi="Verdana" w:cs="Verdana"/>
          <w:color w:val="1F4E79"/>
          <w:sz w:val="18"/>
          <w:szCs w:val="18"/>
        </w:rPr>
      </w:pPr>
      <w:r w:rsidRPr="00DD38A5">
        <w:rPr>
          <w:rFonts w:ascii="Verdana" w:eastAsia="Verdana" w:hAnsi="Verdana" w:cs="Verdana"/>
          <w:color w:val="1F4E79"/>
          <w:sz w:val="18"/>
          <w:szCs w:val="18"/>
        </w:rPr>
        <w:t>Imagen</w:t>
      </w:r>
      <w:r w:rsidRPr="00221ECF">
        <w:rPr>
          <w:rFonts w:ascii="Verdana" w:eastAsia="Verdana" w:hAnsi="Verdana" w:cs="Verdana"/>
          <w:color w:val="0070C0"/>
          <w:sz w:val="18"/>
          <w:szCs w:val="18"/>
        </w:rPr>
        <w:t xml:space="preserve"> </w:t>
      </w:r>
      <w:r w:rsidR="00DD38A5">
        <w:rPr>
          <w:rFonts w:ascii="Verdana" w:eastAsia="Verdana" w:hAnsi="Verdana" w:cs="Verdana"/>
          <w:color w:val="1F4E79"/>
          <w:sz w:val="18"/>
          <w:szCs w:val="18"/>
        </w:rPr>
        <w:t>1 y 2</w:t>
      </w:r>
      <w:r w:rsidRPr="00DD38A5">
        <w:rPr>
          <w:rFonts w:ascii="Verdana" w:eastAsia="Verdana" w:hAnsi="Verdana" w:cs="Verdana"/>
          <w:color w:val="1F4E79"/>
          <w:sz w:val="18"/>
          <w:szCs w:val="18"/>
        </w:rPr>
        <w:t>. Se muestran la situación inicial y final de construcción (imagen inferior) del área intermodal Felipe II. Puede observarse la reorganización del espacio disponible para priorizar los itinerarios peatonales sin renunciar a los usos que alberga la plaza como paradas de autobuses urbanos, acceso a Metro, terrazas de veladores o puestos de venta</w:t>
      </w:r>
    </w:p>
    <w:p w14:paraId="57E554B9" w14:textId="13F016F9" w:rsidR="005207A1" w:rsidRDefault="005207A1" w:rsidP="00DD38A5">
      <w:pPr>
        <w:spacing w:line="276" w:lineRule="auto"/>
        <w:ind w:left="0" w:firstLine="0"/>
        <w:rPr>
          <w:rFonts w:ascii="Verdana" w:eastAsia="Verdana" w:hAnsi="Verdana" w:cs="Verdana"/>
          <w:color w:val="1F4E79"/>
          <w:sz w:val="18"/>
          <w:szCs w:val="18"/>
        </w:rPr>
      </w:pPr>
    </w:p>
    <w:p w14:paraId="7CAE1928" w14:textId="77777777" w:rsidR="005207A1" w:rsidRPr="00DD38A5" w:rsidRDefault="005207A1" w:rsidP="00DD38A5">
      <w:pPr>
        <w:spacing w:line="276" w:lineRule="auto"/>
        <w:ind w:left="0" w:firstLine="0"/>
        <w:rPr>
          <w:rFonts w:ascii="Verdana" w:eastAsia="Verdana" w:hAnsi="Verdana" w:cs="Verdana"/>
          <w:color w:val="1F4E79"/>
          <w:sz w:val="18"/>
          <w:szCs w:val="18"/>
        </w:rPr>
      </w:pPr>
    </w:p>
    <w:p w14:paraId="2AF6C7D2" w14:textId="77777777" w:rsidR="00DD38A5" w:rsidRPr="001729EF" w:rsidRDefault="00DD38A5" w:rsidP="00DD38A5">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lastRenderedPageBreak/>
        <w:t>Recomendaciones de buenas prácticas</w:t>
      </w:r>
    </w:p>
    <w:p w14:paraId="3BAEFDB8" w14:textId="77777777" w:rsidR="00DD38A5" w:rsidRPr="00DD38A5" w:rsidRDefault="00DD38A5" w:rsidP="00DD38A5">
      <w:pPr>
        <w:pStyle w:val="Citadestacada"/>
      </w:pPr>
      <w:r w:rsidRPr="00DD38A5">
        <w:t>Resulta muy interesante el debate celebrado el 18 de mayo de 2017 en el Colegio Oficial de Arquitectos de Madrid donde, bajo el título “</w:t>
      </w:r>
      <w:r w:rsidRPr="00DD38A5">
        <w:rPr>
          <w:b/>
        </w:rPr>
        <w:t>Objetivo 4 de diciembre: La Accesibilidad como requerimiento obligatorio – Ajustes razonables</w:t>
      </w:r>
      <w:r w:rsidRPr="00DD38A5">
        <w:t>”, se ofrecieron diversas opiniones y valiosas propuestas conceptuales sobre el asunto.</w:t>
      </w:r>
    </w:p>
    <w:p w14:paraId="434841FA" w14:textId="77777777" w:rsidR="00DD38A5" w:rsidRPr="00DD38A5" w:rsidRDefault="00DD38A5" w:rsidP="00DD38A5">
      <w:pPr>
        <w:pStyle w:val="Citadestacada"/>
      </w:pPr>
      <w:r>
        <w:rPr>
          <w:noProof/>
        </w:rPr>
        <w:drawing>
          <wp:inline distT="0" distB="0" distL="0" distR="0" wp14:anchorId="1F1C3D09" wp14:editId="4B3F9E9E">
            <wp:extent cx="3582670" cy="2128520"/>
            <wp:effectExtent l="0" t="0" r="0" b="0"/>
            <wp:docPr id="35"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1.jpg">
                      <a:extLst>
                        <a:ext uri="{C183D7F6-B498-43B3-948B-1728B52AA6E4}">
                          <adec:decorative xmlns:adec="http://schemas.microsoft.com/office/drawing/2017/decorative" val="1"/>
                        </a:ext>
                      </a:extLst>
                    </pic:cNvPr>
                    <pic:cNvPicPr preferRelativeResize="0"/>
                  </pic:nvPicPr>
                  <pic:blipFill>
                    <a:blip r:embed="rId17"/>
                    <a:srcRect t="12697" b="13066"/>
                    <a:stretch>
                      <a:fillRect/>
                    </a:stretch>
                  </pic:blipFill>
                  <pic:spPr>
                    <a:xfrm>
                      <a:off x="0" y="0"/>
                      <a:ext cx="3582670" cy="2128520"/>
                    </a:xfrm>
                    <a:prstGeom prst="rect">
                      <a:avLst/>
                    </a:prstGeom>
                    <a:ln/>
                  </pic:spPr>
                </pic:pic>
              </a:graphicData>
            </a:graphic>
          </wp:inline>
        </w:drawing>
      </w:r>
    </w:p>
    <w:p w14:paraId="4617EE42" w14:textId="3D3B83AF" w:rsidR="00DD38A5" w:rsidRPr="00DD38A5" w:rsidRDefault="00000000" w:rsidP="00DD38A5">
      <w:pPr>
        <w:pStyle w:val="Citadestacada"/>
      </w:pPr>
      <w:hyperlink r:id="rId18" w:history="1">
        <w:r w:rsidR="00DD38A5" w:rsidRPr="00DD06FE">
          <w:rPr>
            <w:rStyle w:val="Hipervnculo"/>
          </w:rPr>
          <w:t>Enlace al vídeo del evento</w:t>
        </w:r>
      </w:hyperlink>
      <w:r w:rsidR="00DD06FE">
        <w:t>.</w:t>
      </w:r>
    </w:p>
    <w:p w14:paraId="6A981AD2" w14:textId="63C6EAB0" w:rsidR="00B74AD7" w:rsidRDefault="00B74AD7">
      <w:pPr>
        <w:rPr>
          <w:rFonts w:ascii="Verdana" w:eastAsia="Verdana" w:hAnsi="Verdana" w:cs="Verdana"/>
          <w:b/>
          <w:sz w:val="22"/>
          <w:szCs w:val="22"/>
        </w:rPr>
      </w:pPr>
      <w:r>
        <w:rPr>
          <w:rFonts w:ascii="Verdana" w:eastAsia="Verdana" w:hAnsi="Verdana" w:cs="Verdana"/>
          <w:b/>
          <w:sz w:val="22"/>
          <w:szCs w:val="22"/>
        </w:rPr>
        <w:br w:type="page"/>
      </w:r>
    </w:p>
    <w:p w14:paraId="612640A5" w14:textId="56008612" w:rsidR="00221ECF" w:rsidRPr="00792309" w:rsidRDefault="00B74AD7" w:rsidP="000A4485">
      <w:pPr>
        <w:pStyle w:val="Ttulo1"/>
      </w:pPr>
      <w:bookmarkStart w:id="4" w:name="_Toc115248216"/>
      <w:r w:rsidRPr="00792309">
        <w:lastRenderedPageBreak/>
        <w:t>Adecuación efectiva de espacios públicos urbanizados</w:t>
      </w:r>
      <w:bookmarkEnd w:id="4"/>
    </w:p>
    <w:p w14:paraId="42B5789A" w14:textId="77777777" w:rsidR="00A06FBD" w:rsidRPr="00A06FBD" w:rsidRDefault="00A06FBD" w:rsidP="00A06FBD">
      <w:pPr>
        <w:spacing w:line="276" w:lineRule="auto"/>
        <w:ind w:left="0" w:firstLine="0"/>
        <w:rPr>
          <w:rFonts w:ascii="Verdana" w:hAnsi="Verdana"/>
          <w:sz w:val="22"/>
          <w:szCs w:val="22"/>
        </w:rPr>
      </w:pPr>
      <w:r w:rsidRPr="00A06FBD">
        <w:rPr>
          <w:rFonts w:ascii="Verdana" w:hAnsi="Verdana"/>
          <w:sz w:val="22"/>
          <w:szCs w:val="22"/>
        </w:rPr>
        <w:t xml:space="preserve">Adaptar el entorno es un medio para alcanzar su ajuste razonable. </w:t>
      </w:r>
    </w:p>
    <w:p w14:paraId="46E07AC5" w14:textId="77777777" w:rsidR="00A06FBD" w:rsidRPr="00A06FBD" w:rsidRDefault="00A06FBD" w:rsidP="00A06FBD">
      <w:pPr>
        <w:spacing w:line="276" w:lineRule="auto"/>
        <w:ind w:left="0" w:firstLine="0"/>
        <w:rPr>
          <w:rFonts w:ascii="Verdana" w:hAnsi="Verdana"/>
          <w:sz w:val="22"/>
          <w:szCs w:val="22"/>
        </w:rPr>
      </w:pPr>
      <w:r w:rsidRPr="00A06FBD">
        <w:rPr>
          <w:rFonts w:ascii="Verdana" w:hAnsi="Verdana"/>
          <w:sz w:val="22"/>
          <w:szCs w:val="22"/>
        </w:rPr>
        <w:t>Pero ¿cómo llevar a cabo esta adaptación cuando la configuración preexistente del espacio público urbanizado obliga a realizar adecuaciones por debajo del umbral establecido por la normativa?</w:t>
      </w:r>
    </w:p>
    <w:p w14:paraId="2CD2B4B4" w14:textId="77777777" w:rsidR="00A06FBD" w:rsidRPr="00A06FBD" w:rsidRDefault="00A06FBD" w:rsidP="00A06FBD">
      <w:pPr>
        <w:spacing w:line="276" w:lineRule="auto"/>
        <w:ind w:left="0" w:firstLine="0"/>
        <w:rPr>
          <w:rFonts w:ascii="Verdana" w:hAnsi="Verdana"/>
          <w:sz w:val="22"/>
          <w:szCs w:val="22"/>
        </w:rPr>
      </w:pPr>
      <w:r w:rsidRPr="00A06FBD">
        <w:rPr>
          <w:rFonts w:ascii="Verdana" w:hAnsi="Verdana"/>
          <w:sz w:val="22"/>
          <w:szCs w:val="22"/>
        </w:rPr>
        <w:t xml:space="preserve">En estos casos, hay que partir de un principio irrenunciable: la accesibilidad es un derecho de las personas con discapacidad. </w:t>
      </w:r>
    </w:p>
    <w:p w14:paraId="7CD02D3F" w14:textId="77777777" w:rsidR="00A06FBD" w:rsidRPr="001729EF" w:rsidRDefault="00A06FBD" w:rsidP="00A06FBD">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707AA674" w14:textId="77777777" w:rsidR="00A06FBD" w:rsidRPr="00A06FBD" w:rsidRDefault="00A06FBD" w:rsidP="00A06FBD">
      <w:pPr>
        <w:pStyle w:val="Citadestacada"/>
      </w:pPr>
      <w:r w:rsidRPr="00A06FBD">
        <w:t xml:space="preserve">La accesibilidad universal es un </w:t>
      </w:r>
      <w:r w:rsidRPr="00A06FBD">
        <w:rPr>
          <w:b/>
        </w:rPr>
        <w:t>derecho</w:t>
      </w:r>
      <w:r w:rsidRPr="00A06FBD">
        <w:t xml:space="preserve"> de las personas con discapacidad.</w:t>
      </w:r>
    </w:p>
    <w:p w14:paraId="2C5094C5" w14:textId="6C0FC4F2" w:rsidR="00A06FBD" w:rsidRDefault="00A06FBD" w:rsidP="00A06FBD">
      <w:pPr>
        <w:pStyle w:val="Citadestacada"/>
      </w:pPr>
      <w:r w:rsidRPr="00A06FBD">
        <w:t xml:space="preserve">Un entorno no accesible merma la posibilidad de disfrute de sus derechos a las personas con discapacidad. Así, estas quedan en una posición de </w:t>
      </w:r>
      <w:r w:rsidRPr="00A06FBD">
        <w:rPr>
          <w:b/>
        </w:rPr>
        <w:t>desigualdad</w:t>
      </w:r>
      <w:r w:rsidRPr="00A06FBD">
        <w:t xml:space="preserve"> y </w:t>
      </w:r>
      <w:r w:rsidRPr="00A06FBD">
        <w:rPr>
          <w:b/>
        </w:rPr>
        <w:t>discriminación</w:t>
      </w:r>
      <w:r w:rsidRPr="00A06FBD">
        <w:t xml:space="preserve"> frente al resto de la sociedad.</w:t>
      </w:r>
    </w:p>
    <w:p w14:paraId="34035C8B" w14:textId="77777777" w:rsidR="00A06FBD" w:rsidRPr="00A06FBD" w:rsidRDefault="00A06FBD" w:rsidP="00A06FBD">
      <w:pPr>
        <w:ind w:left="0" w:firstLine="0"/>
      </w:pPr>
    </w:p>
    <w:p w14:paraId="6B3A58FF" w14:textId="77777777" w:rsidR="00A06FBD" w:rsidRPr="00A06FBD" w:rsidRDefault="00A06FBD" w:rsidP="00A06FBD">
      <w:pPr>
        <w:spacing w:line="276" w:lineRule="auto"/>
        <w:ind w:left="0" w:hanging="2"/>
        <w:rPr>
          <w:rFonts w:ascii="Verdana" w:eastAsia="Verdana" w:hAnsi="Verdana" w:cs="Verdana"/>
          <w:sz w:val="22"/>
          <w:szCs w:val="22"/>
        </w:rPr>
      </w:pPr>
      <w:r w:rsidRPr="00A06FBD">
        <w:rPr>
          <w:rFonts w:ascii="Verdana" w:eastAsia="Verdana" w:hAnsi="Verdana" w:cs="Verdana"/>
          <w:sz w:val="22"/>
          <w:szCs w:val="22"/>
        </w:rPr>
        <w:t xml:space="preserve">La presencia o ausencia de un entorno accesible </w:t>
      </w:r>
      <w:r w:rsidRPr="00A06FBD">
        <w:rPr>
          <w:rFonts w:ascii="Verdana" w:eastAsia="Verdana" w:hAnsi="Verdana" w:cs="Verdana"/>
          <w:b/>
          <w:sz w:val="22"/>
          <w:szCs w:val="22"/>
        </w:rPr>
        <w:t xml:space="preserve">condiciona el ejercicio de los derechos </w:t>
      </w:r>
      <w:r w:rsidRPr="00A06FBD">
        <w:rPr>
          <w:rFonts w:ascii="Verdana" w:eastAsia="Verdana" w:hAnsi="Verdana" w:cs="Verdana"/>
          <w:sz w:val="22"/>
          <w:szCs w:val="22"/>
        </w:rPr>
        <w:t>reconocidos a las personas con discapacidad.</w:t>
      </w:r>
    </w:p>
    <w:p w14:paraId="6B68AA88" w14:textId="77777777" w:rsidR="00A06FBD" w:rsidRPr="001729EF" w:rsidRDefault="00A06FBD" w:rsidP="00A06FBD">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6CCCB303" w14:textId="77777777" w:rsidR="00A06FBD" w:rsidRPr="00A06FBD" w:rsidRDefault="00A06FBD" w:rsidP="00A06FBD">
      <w:pPr>
        <w:pStyle w:val="Citadestacada"/>
      </w:pPr>
      <w:r w:rsidRPr="00A06FBD">
        <w:t>Imaginemos que dos amigos visitan una ciudad. Ambos tienen el mismo derecho a circular por sus calles, cruzar las calzadas, emplear el transporte público o disfrutar de sus parques y jardines.</w:t>
      </w:r>
    </w:p>
    <w:p w14:paraId="03FC6BD6" w14:textId="77777777" w:rsidR="00A06FBD" w:rsidRPr="00A06FBD" w:rsidRDefault="00A06FBD" w:rsidP="00A06FBD">
      <w:pPr>
        <w:pStyle w:val="Citadestacada"/>
      </w:pPr>
      <w:r w:rsidRPr="00A06FBD">
        <w:t>Que la persona con discapacidad pueda ejercerlo depende del grado de accesibilidad que presente el entorno que visitan.</w:t>
      </w:r>
    </w:p>
    <w:p w14:paraId="05C19A08" w14:textId="26C5FA0B" w:rsidR="00A06FBD" w:rsidRDefault="00A06FBD" w:rsidP="00A06FBD">
      <w:pPr>
        <w:pStyle w:val="Citadestacada"/>
      </w:pPr>
      <w:r w:rsidRPr="00A06FBD">
        <w:t>De este modo, los derechos de las personas con discapacidad y las condiciones de accesibilidad del entorno urbano quedan relacionados.</w:t>
      </w:r>
    </w:p>
    <w:p w14:paraId="14163E22" w14:textId="77777777" w:rsidR="00A06FBD" w:rsidRPr="00A06FBD" w:rsidRDefault="00A06FBD" w:rsidP="00A06FBD"/>
    <w:p w14:paraId="705128CD" w14:textId="77777777" w:rsidR="00A06FBD" w:rsidRPr="00A06FBD" w:rsidRDefault="00A06FBD" w:rsidP="00A06FBD">
      <w:pPr>
        <w:spacing w:line="276" w:lineRule="auto"/>
        <w:ind w:left="0" w:hanging="2"/>
        <w:rPr>
          <w:rFonts w:ascii="Verdana" w:eastAsia="Verdana" w:hAnsi="Verdana" w:cs="Verdana"/>
          <w:sz w:val="22"/>
          <w:szCs w:val="22"/>
        </w:rPr>
      </w:pPr>
      <w:r w:rsidRPr="00A06FBD">
        <w:rPr>
          <w:rFonts w:ascii="Verdana" w:eastAsia="Verdana" w:hAnsi="Verdana" w:cs="Verdana"/>
          <w:sz w:val="22"/>
          <w:szCs w:val="22"/>
        </w:rPr>
        <w:t xml:space="preserve">En entornos urbanos de nueva construcción (a partir del 4 de diciembre de 2010) es obligatorio el cumplimiento normativo. Sin embargo, es habitual que en espacios urbanos consolidados las adaptaciones en materia de accesibilidad se encuentren con muchos obstáculos. Así, la </w:t>
      </w:r>
      <w:r w:rsidRPr="00A06FBD">
        <w:rPr>
          <w:rFonts w:ascii="Verdana" w:eastAsia="Verdana" w:hAnsi="Verdana" w:cs="Verdana"/>
          <w:b/>
          <w:sz w:val="22"/>
          <w:szCs w:val="22"/>
        </w:rPr>
        <w:t>adecuación efectiva</w:t>
      </w:r>
      <w:r w:rsidRPr="00A06FBD">
        <w:rPr>
          <w:rFonts w:ascii="Verdana" w:eastAsia="Verdana" w:hAnsi="Verdana" w:cs="Verdana"/>
          <w:sz w:val="22"/>
          <w:szCs w:val="22"/>
        </w:rPr>
        <w:t xml:space="preserve"> sería </w:t>
      </w:r>
      <w:proofErr w:type="gramStart"/>
      <w:r w:rsidRPr="00A06FBD">
        <w:rPr>
          <w:rFonts w:ascii="Verdana" w:eastAsia="Verdana" w:hAnsi="Verdana" w:cs="Verdana"/>
          <w:sz w:val="22"/>
          <w:szCs w:val="22"/>
        </w:rPr>
        <w:t>la herramienta a considerar</w:t>
      </w:r>
      <w:proofErr w:type="gramEnd"/>
      <w:r w:rsidRPr="00A06FBD">
        <w:rPr>
          <w:rFonts w:ascii="Verdana" w:eastAsia="Verdana" w:hAnsi="Verdana" w:cs="Verdana"/>
          <w:sz w:val="22"/>
          <w:szCs w:val="22"/>
        </w:rPr>
        <w:t>. Esta permite llegar al ajuste razonable que compatibiliza el derecho a la accesibilidad de las personas con discapacidad con la viabilidad técnica y, en ocasiones, económica de las obras a acometer.</w:t>
      </w:r>
    </w:p>
    <w:p w14:paraId="74972AB8" w14:textId="77777777" w:rsidR="00A06FBD" w:rsidRPr="00A06FBD" w:rsidRDefault="00A06FBD" w:rsidP="00A06FBD">
      <w:pPr>
        <w:spacing w:line="276" w:lineRule="auto"/>
        <w:ind w:left="0" w:hanging="2"/>
        <w:rPr>
          <w:rFonts w:ascii="Verdana" w:eastAsia="Verdana" w:hAnsi="Verdana" w:cs="Verdana"/>
          <w:sz w:val="22"/>
          <w:szCs w:val="22"/>
        </w:rPr>
      </w:pPr>
      <w:r w:rsidRPr="00A06FBD">
        <w:rPr>
          <w:rFonts w:ascii="Verdana" w:eastAsia="Verdana" w:hAnsi="Verdana" w:cs="Verdana"/>
          <w:sz w:val="22"/>
          <w:szCs w:val="22"/>
        </w:rPr>
        <w:lastRenderedPageBreak/>
        <w:t xml:space="preserve">Cabe recordar que la </w:t>
      </w:r>
      <w:bookmarkStart w:id="5" w:name="_Hlk109213385"/>
      <w:r w:rsidRPr="00A06FBD">
        <w:rPr>
          <w:rFonts w:ascii="Verdana" w:eastAsia="Verdana" w:hAnsi="Verdana" w:cs="Verdana"/>
          <w:sz w:val="22"/>
          <w:szCs w:val="22"/>
        </w:rPr>
        <w:t xml:space="preserve">Orden TMA/851/2021 </w:t>
      </w:r>
      <w:bookmarkEnd w:id="5"/>
      <w:r w:rsidRPr="00A06FBD">
        <w:rPr>
          <w:rFonts w:ascii="Verdana" w:eastAsia="Verdana" w:hAnsi="Verdana" w:cs="Verdana"/>
          <w:sz w:val="22"/>
          <w:szCs w:val="22"/>
        </w:rPr>
        <w:t>cita que “…</w:t>
      </w:r>
      <w:r w:rsidRPr="00A06FBD">
        <w:rPr>
          <w:rFonts w:ascii="Verdana" w:eastAsia="Verdana" w:hAnsi="Verdana" w:cs="Verdana"/>
          <w:b/>
          <w:bCs/>
          <w:sz w:val="22"/>
          <w:szCs w:val="22"/>
        </w:rPr>
        <w:t>el objetivo último de la norma es hacer efectiva la accesibilidad universal y el derecho a la igualdad de oportunidades y de trato en la mayor medida posible</w:t>
      </w:r>
      <w:r w:rsidRPr="00A06FBD">
        <w:rPr>
          <w:rFonts w:ascii="Verdana" w:eastAsia="Verdana" w:hAnsi="Verdana" w:cs="Verdana"/>
          <w:sz w:val="22"/>
          <w:szCs w:val="22"/>
        </w:rPr>
        <w:t>”.</w:t>
      </w:r>
    </w:p>
    <w:p w14:paraId="664EC48F" w14:textId="77777777" w:rsidR="00A06FBD" w:rsidRPr="00A06FBD" w:rsidRDefault="00A06FBD" w:rsidP="00A06FBD">
      <w:pPr>
        <w:spacing w:line="276" w:lineRule="auto"/>
        <w:ind w:left="0" w:hanging="2"/>
        <w:rPr>
          <w:rFonts w:ascii="Verdana" w:eastAsia="Verdana" w:hAnsi="Verdana" w:cs="Verdana"/>
          <w:sz w:val="22"/>
          <w:szCs w:val="22"/>
        </w:rPr>
      </w:pPr>
      <w:r w:rsidRPr="00A06FBD">
        <w:rPr>
          <w:rFonts w:ascii="Verdana" w:eastAsia="Verdana" w:hAnsi="Verdana" w:cs="Verdana"/>
          <w:sz w:val="22"/>
          <w:szCs w:val="22"/>
        </w:rPr>
        <w:t xml:space="preserve">Es decir, si bien los máximos ajustes en accesibilidad son deseables, no todos resultan obligatorios. Tan solo deberán atenderse los que resulten razonables desde </w:t>
      </w:r>
      <w:r w:rsidRPr="00A06FBD">
        <w:rPr>
          <w:rFonts w:ascii="Verdana" w:eastAsia="Verdana" w:hAnsi="Verdana" w:cs="Verdana"/>
          <w:b/>
          <w:sz w:val="22"/>
          <w:szCs w:val="22"/>
        </w:rPr>
        <w:t>criterios ajustados a la realidad</w:t>
      </w:r>
      <w:r w:rsidRPr="00A06FBD">
        <w:rPr>
          <w:rFonts w:ascii="Verdana" w:eastAsia="Verdana" w:hAnsi="Verdana" w:cs="Verdana"/>
          <w:sz w:val="22"/>
          <w:szCs w:val="22"/>
        </w:rPr>
        <w:t xml:space="preserve"> de cada situación.</w:t>
      </w:r>
    </w:p>
    <w:p w14:paraId="76D79B8E" w14:textId="77777777" w:rsidR="00A06FBD" w:rsidRPr="00A06FBD" w:rsidRDefault="00A06FBD" w:rsidP="00A06FBD">
      <w:pPr>
        <w:spacing w:line="276" w:lineRule="auto"/>
        <w:ind w:left="0" w:hanging="2"/>
        <w:rPr>
          <w:rFonts w:ascii="Verdana" w:eastAsia="Verdana" w:hAnsi="Verdana" w:cs="Verdana"/>
          <w:sz w:val="22"/>
          <w:szCs w:val="22"/>
        </w:rPr>
      </w:pPr>
      <w:r w:rsidRPr="00A06FBD">
        <w:rPr>
          <w:rFonts w:ascii="Verdana" w:eastAsia="Verdana" w:hAnsi="Verdana" w:cs="Verdana"/>
          <w:sz w:val="22"/>
          <w:szCs w:val="22"/>
        </w:rPr>
        <w:t xml:space="preserve">El concepto de ajuste razonable en nuestro marco normativo depende del estudio de </w:t>
      </w:r>
      <w:r w:rsidRPr="00A06FBD">
        <w:rPr>
          <w:rFonts w:ascii="Verdana" w:eastAsia="Verdana" w:hAnsi="Verdana" w:cs="Verdana"/>
          <w:b/>
          <w:sz w:val="22"/>
          <w:szCs w:val="22"/>
        </w:rPr>
        <w:t>cada caso particular.</w:t>
      </w:r>
      <w:r w:rsidRPr="00A06FBD">
        <w:rPr>
          <w:rFonts w:ascii="Verdana" w:eastAsia="Verdana" w:hAnsi="Verdana" w:cs="Verdana"/>
          <w:sz w:val="22"/>
          <w:szCs w:val="22"/>
        </w:rPr>
        <w:t xml:space="preserve"> Esto facilita que su aplicación varíe en función de la situación personal de los usuarios y de las condiciones del entorno.</w:t>
      </w:r>
    </w:p>
    <w:p w14:paraId="48778F38" w14:textId="77777777" w:rsidR="00A06FBD" w:rsidRPr="00A06FBD" w:rsidRDefault="00A06FBD" w:rsidP="00A06FBD">
      <w:pPr>
        <w:spacing w:line="276" w:lineRule="auto"/>
        <w:ind w:left="0" w:hanging="2"/>
        <w:rPr>
          <w:rFonts w:ascii="Verdana" w:eastAsia="Verdana" w:hAnsi="Verdana" w:cs="Verdana"/>
          <w:sz w:val="22"/>
          <w:szCs w:val="22"/>
        </w:rPr>
      </w:pPr>
      <w:r w:rsidRPr="00A06FBD">
        <w:rPr>
          <w:rFonts w:ascii="Verdana" w:eastAsia="Verdana" w:hAnsi="Verdana" w:cs="Verdana"/>
          <w:sz w:val="22"/>
          <w:szCs w:val="22"/>
        </w:rPr>
        <w:t xml:space="preserve">En las medidas que mejoran de forma efectiva la accesibilidad hay que valorar su viabilidad técnica. Se trata de estimar si la carga que conlleva su implantación es asumible. En este sentido hay que conocer </w:t>
      </w:r>
      <w:r w:rsidRPr="00A06FBD">
        <w:rPr>
          <w:rFonts w:ascii="Verdana" w:eastAsia="Verdana" w:hAnsi="Verdana" w:cs="Verdana"/>
          <w:b/>
          <w:sz w:val="22"/>
          <w:szCs w:val="22"/>
        </w:rPr>
        <w:t>cuándo una</w:t>
      </w:r>
      <w:r w:rsidRPr="00A06FBD">
        <w:rPr>
          <w:rFonts w:ascii="Verdana" w:eastAsia="Verdana" w:hAnsi="Verdana" w:cs="Verdana"/>
          <w:sz w:val="22"/>
          <w:szCs w:val="22"/>
        </w:rPr>
        <w:t xml:space="preserve"> </w:t>
      </w:r>
      <w:r w:rsidRPr="00A06FBD">
        <w:rPr>
          <w:rFonts w:ascii="Verdana" w:eastAsia="Verdana" w:hAnsi="Verdana" w:cs="Verdana"/>
          <w:b/>
          <w:sz w:val="22"/>
          <w:szCs w:val="22"/>
        </w:rPr>
        <w:t>carga se considera desproporcionada</w:t>
      </w:r>
      <w:r w:rsidRPr="00A06FBD">
        <w:rPr>
          <w:rFonts w:ascii="Verdana" w:eastAsia="Verdana" w:hAnsi="Verdana" w:cs="Verdana"/>
          <w:sz w:val="22"/>
          <w:szCs w:val="22"/>
        </w:rPr>
        <w:t xml:space="preserve">. Para ello se tienen en cuenta </w:t>
      </w:r>
      <w:r w:rsidRPr="00A06FBD">
        <w:rPr>
          <w:rFonts w:ascii="Verdana" w:eastAsia="Verdana" w:hAnsi="Verdana" w:cs="Verdana"/>
          <w:b/>
          <w:sz w:val="22"/>
          <w:szCs w:val="22"/>
        </w:rPr>
        <w:t>tres aspectos</w:t>
      </w:r>
      <w:r w:rsidRPr="00A06FBD">
        <w:rPr>
          <w:rFonts w:ascii="Verdana" w:eastAsia="Verdana" w:hAnsi="Verdana" w:cs="Verdana"/>
          <w:sz w:val="22"/>
          <w:szCs w:val="22"/>
        </w:rPr>
        <w:t>:</w:t>
      </w:r>
    </w:p>
    <w:p w14:paraId="6D24477D" w14:textId="3019EF81" w:rsidR="00B74AD7" w:rsidRDefault="00A06FBD" w:rsidP="00A06FBD">
      <w:pPr>
        <w:pStyle w:val="Ttulo3"/>
        <w:numPr>
          <w:ilvl w:val="0"/>
          <w:numId w:val="27"/>
        </w:numPr>
        <w:spacing w:before="480" w:after="240"/>
        <w:ind w:left="426" w:hanging="426"/>
      </w:pPr>
      <w:bookmarkStart w:id="6" w:name="_Toc115248217"/>
      <w:r>
        <w:t>Necesidad de intervención</w:t>
      </w:r>
      <w:bookmarkEnd w:id="6"/>
    </w:p>
    <w:p w14:paraId="73CD527B" w14:textId="77777777" w:rsidR="00A06FBD" w:rsidRPr="00A06FBD" w:rsidRDefault="00A06FBD" w:rsidP="00A06FBD">
      <w:pPr>
        <w:spacing w:line="276" w:lineRule="auto"/>
        <w:ind w:left="0" w:hanging="2"/>
        <w:rPr>
          <w:rFonts w:ascii="Verdana" w:eastAsia="Verdana" w:hAnsi="Verdana" w:cs="Verdana"/>
          <w:sz w:val="22"/>
          <w:szCs w:val="22"/>
        </w:rPr>
      </w:pPr>
      <w:r w:rsidRPr="00A06FBD">
        <w:rPr>
          <w:rFonts w:ascii="Verdana" w:eastAsia="Verdana" w:hAnsi="Verdana" w:cs="Verdana"/>
          <w:sz w:val="22"/>
          <w:szCs w:val="22"/>
        </w:rPr>
        <w:t>Se mide en función de la defensa de los derechos de los potenciales usuarios con discapacidad. Para ellos, no intervenir resultaría</w:t>
      </w:r>
      <w:r w:rsidRPr="00A06FBD">
        <w:rPr>
          <w:rFonts w:ascii="Verdana" w:eastAsia="Verdana" w:hAnsi="Verdana" w:cs="Verdana"/>
          <w:b/>
          <w:sz w:val="22"/>
          <w:szCs w:val="22"/>
        </w:rPr>
        <w:t xml:space="preserve"> discriminatorio</w:t>
      </w:r>
      <w:r w:rsidRPr="00A06FBD">
        <w:rPr>
          <w:rFonts w:ascii="Verdana" w:eastAsia="Verdana" w:hAnsi="Verdana" w:cs="Verdana"/>
          <w:sz w:val="22"/>
          <w:szCs w:val="22"/>
        </w:rPr>
        <w:t xml:space="preserve"> en el uso habitual del espacio urbano.</w:t>
      </w:r>
    </w:p>
    <w:p w14:paraId="26E21B37" w14:textId="77777777" w:rsidR="00A06FBD" w:rsidRPr="00A06FBD" w:rsidRDefault="00A06FBD" w:rsidP="00A06FBD">
      <w:pPr>
        <w:spacing w:line="276" w:lineRule="auto"/>
        <w:ind w:left="0" w:hanging="2"/>
        <w:rPr>
          <w:rFonts w:ascii="Verdana" w:eastAsia="Verdana" w:hAnsi="Verdana" w:cs="Verdana"/>
          <w:sz w:val="22"/>
          <w:szCs w:val="22"/>
        </w:rPr>
      </w:pPr>
      <w:r w:rsidRPr="00A06FBD">
        <w:rPr>
          <w:rFonts w:ascii="Verdana" w:eastAsia="Verdana" w:hAnsi="Verdana" w:cs="Verdana"/>
          <w:sz w:val="22"/>
          <w:szCs w:val="22"/>
        </w:rPr>
        <w:t>Las calles de las ciudades son espacios públicos con un rango de usuarios muy diverso, por lo que dicha necesidad resulta innegable.</w:t>
      </w:r>
    </w:p>
    <w:p w14:paraId="6E05E920" w14:textId="5F9B13B3" w:rsidR="00A06FBD" w:rsidRDefault="00A06FBD" w:rsidP="00C10270">
      <w:pPr>
        <w:pStyle w:val="Ttulo3"/>
        <w:numPr>
          <w:ilvl w:val="0"/>
          <w:numId w:val="27"/>
        </w:numPr>
        <w:spacing w:before="480" w:after="240"/>
        <w:ind w:left="425" w:hanging="425"/>
      </w:pPr>
      <w:bookmarkStart w:id="7" w:name="_Toc115248218"/>
      <w:r>
        <w:t>Viabilidad técnica de la intervención</w:t>
      </w:r>
      <w:bookmarkEnd w:id="7"/>
    </w:p>
    <w:p w14:paraId="1B9167A7" w14:textId="77777777" w:rsidR="00C10270" w:rsidRPr="00C10270" w:rsidRDefault="00C10270" w:rsidP="00C10270">
      <w:pPr>
        <w:spacing w:line="276" w:lineRule="auto"/>
        <w:ind w:left="0" w:hanging="2"/>
        <w:jc w:val="both"/>
        <w:rPr>
          <w:rFonts w:ascii="Verdana" w:eastAsia="Verdana" w:hAnsi="Verdana" w:cs="Verdana"/>
          <w:sz w:val="22"/>
          <w:szCs w:val="22"/>
        </w:rPr>
      </w:pPr>
      <w:r w:rsidRPr="00C10270">
        <w:rPr>
          <w:rFonts w:ascii="Verdana" w:eastAsia="Verdana" w:hAnsi="Verdana" w:cs="Verdana"/>
          <w:sz w:val="22"/>
          <w:szCs w:val="22"/>
        </w:rPr>
        <w:t>Aunque la casuística en este aspecto es diversa, suele atender a estas consideraciones:</w:t>
      </w:r>
    </w:p>
    <w:p w14:paraId="5B4FB2F6" w14:textId="70895195" w:rsidR="00C10270" w:rsidRPr="00C10270" w:rsidRDefault="00C10270" w:rsidP="00C10270">
      <w:pPr>
        <w:pStyle w:val="Prrafodelista"/>
        <w:numPr>
          <w:ilvl w:val="0"/>
          <w:numId w:val="10"/>
        </w:numPr>
        <w:rPr>
          <w:rFonts w:ascii="Verdana" w:hAnsi="Verdana"/>
          <w:b/>
          <w:bCs/>
          <w:sz w:val="22"/>
          <w:szCs w:val="22"/>
        </w:rPr>
      </w:pPr>
      <w:r w:rsidRPr="00C10270">
        <w:rPr>
          <w:rFonts w:ascii="Verdana" w:hAnsi="Verdana"/>
          <w:b/>
          <w:bCs/>
          <w:sz w:val="22"/>
          <w:szCs w:val="22"/>
        </w:rPr>
        <w:t>Propiedad de las zonas afectadas por la intervención.</w:t>
      </w:r>
    </w:p>
    <w:p w14:paraId="5482AA69" w14:textId="77777777" w:rsidR="00C10270" w:rsidRPr="00C10270" w:rsidRDefault="00C10270" w:rsidP="00C10270">
      <w:pPr>
        <w:pStyle w:val="Prrafodelista"/>
        <w:numPr>
          <w:ilvl w:val="0"/>
          <w:numId w:val="28"/>
        </w:numPr>
        <w:spacing w:line="276" w:lineRule="auto"/>
        <w:rPr>
          <w:rFonts w:ascii="Verdana" w:eastAsia="Verdana" w:hAnsi="Verdana" w:cs="Verdana"/>
          <w:sz w:val="22"/>
          <w:szCs w:val="22"/>
        </w:rPr>
      </w:pPr>
      <w:r w:rsidRPr="00C10270">
        <w:rPr>
          <w:rFonts w:ascii="Verdana" w:hAnsi="Verdana"/>
          <w:b/>
          <w:bCs/>
          <w:sz w:val="22"/>
          <w:szCs w:val="22"/>
        </w:rPr>
        <w:t xml:space="preserve">Grado de protección del entorno urbano. </w:t>
      </w:r>
      <w:r w:rsidRPr="00C10270">
        <w:rPr>
          <w:rFonts w:ascii="Verdana" w:eastAsia="Verdana" w:hAnsi="Verdana" w:cs="Verdana"/>
          <w:sz w:val="22"/>
          <w:szCs w:val="22"/>
        </w:rPr>
        <w:t>El derecho a la accesibilidad debe coexistir con el derecho a la conservación del patrimonio. Hay que analizar cada caso en busca de soluciones satisfactorias para ambos.</w:t>
      </w:r>
    </w:p>
    <w:p w14:paraId="726776CF" w14:textId="36ADB346" w:rsidR="00C10270" w:rsidRDefault="00C10270" w:rsidP="00C10270">
      <w:pPr>
        <w:pStyle w:val="Prrafodelista"/>
        <w:numPr>
          <w:ilvl w:val="0"/>
          <w:numId w:val="10"/>
        </w:numPr>
        <w:rPr>
          <w:rFonts w:ascii="Verdana" w:hAnsi="Verdana"/>
          <w:b/>
          <w:bCs/>
          <w:sz w:val="22"/>
          <w:szCs w:val="22"/>
        </w:rPr>
      </w:pPr>
      <w:r w:rsidRPr="00C10270">
        <w:rPr>
          <w:rFonts w:ascii="Verdana" w:hAnsi="Verdana"/>
          <w:b/>
          <w:bCs/>
          <w:sz w:val="22"/>
          <w:szCs w:val="22"/>
        </w:rPr>
        <w:t>Grado de protección del entorno urbano.</w:t>
      </w:r>
    </w:p>
    <w:p w14:paraId="6C0AAF95" w14:textId="77777777" w:rsidR="00C10270" w:rsidRPr="001729EF" w:rsidRDefault="00C10270" w:rsidP="00C10270">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6516514B" w14:textId="77777777" w:rsidR="00C10270" w:rsidRPr="00C10270" w:rsidRDefault="00C10270" w:rsidP="00C10270">
      <w:pPr>
        <w:pStyle w:val="Citadestacada"/>
      </w:pPr>
      <w:r w:rsidRPr="00C10270">
        <w:t xml:space="preserve">Algunas calles pueden contar con una pavimentación histórica protegida que no se puede sustituir por otra más accesible. </w:t>
      </w:r>
    </w:p>
    <w:p w14:paraId="2439A7E7" w14:textId="77777777" w:rsidR="00C10270" w:rsidRPr="00C10270" w:rsidRDefault="00C10270" w:rsidP="00C10270">
      <w:pPr>
        <w:pStyle w:val="Citadestacada"/>
      </w:pPr>
      <w:r w:rsidRPr="00C10270">
        <w:t>Para resolver la imposibilidad de instaurar itinerarios peatonales accesibles en estas áreas, se buscarán itinerarios alternativos que permitan el uso del entorno urbano.</w:t>
      </w:r>
    </w:p>
    <w:p w14:paraId="52EB13D8" w14:textId="77777777" w:rsidR="00C10270" w:rsidRPr="00C10270" w:rsidRDefault="00C10270" w:rsidP="00C10270">
      <w:pPr>
        <w:pStyle w:val="Citadestacada"/>
      </w:pPr>
      <w:r w:rsidRPr="00C10270">
        <w:lastRenderedPageBreak/>
        <w:t>Por tanto, las zonas con protección histórica quedarán fuera del entorno accesible. Esto supone que no se pueden instalar en ellas elementos como paradas de autobús o puntos de información.</w:t>
      </w:r>
    </w:p>
    <w:p w14:paraId="1F6537E3" w14:textId="77777777" w:rsidR="00C10270" w:rsidRPr="00C10270" w:rsidRDefault="00C10270" w:rsidP="00C10270">
      <w:pPr>
        <w:pStyle w:val="Citadestacada"/>
        <w:rPr>
          <w:b/>
          <w:bCs/>
        </w:rPr>
      </w:pPr>
      <w:r w:rsidRPr="00C10270">
        <w:rPr>
          <w:b/>
          <w:bCs/>
        </w:rPr>
        <w:t>Dificultad e imposibilidad no son términos equivalentes. La innovación y las propuestas alternativas pueden salvar las dificultades iniciales y mejorar la accesibilidad de estos entornos.</w:t>
      </w:r>
    </w:p>
    <w:p w14:paraId="68A06334" w14:textId="6216D5F9" w:rsidR="00C10270" w:rsidRDefault="00C10270" w:rsidP="00C10270">
      <w:pPr>
        <w:pStyle w:val="Ttulo3"/>
        <w:numPr>
          <w:ilvl w:val="0"/>
          <w:numId w:val="27"/>
        </w:numPr>
        <w:spacing w:before="480" w:after="240"/>
        <w:ind w:left="425" w:hanging="425"/>
      </w:pPr>
      <w:bookmarkStart w:id="8" w:name="_Toc115248219"/>
      <w:r w:rsidRPr="00C10270">
        <w:t>Viabilidad económica de la actuación</w:t>
      </w:r>
      <w:bookmarkEnd w:id="8"/>
    </w:p>
    <w:p w14:paraId="3B1A38FE" w14:textId="77777777" w:rsidR="00C10270" w:rsidRPr="00C10270" w:rsidRDefault="00C10270" w:rsidP="00C10270">
      <w:pPr>
        <w:spacing w:line="276" w:lineRule="auto"/>
        <w:ind w:left="0" w:hanging="2"/>
        <w:rPr>
          <w:rFonts w:ascii="Verdana" w:eastAsia="Verdana" w:hAnsi="Verdana" w:cs="Verdana"/>
          <w:sz w:val="22"/>
          <w:szCs w:val="22"/>
        </w:rPr>
      </w:pPr>
      <w:r w:rsidRPr="00C10270">
        <w:rPr>
          <w:rFonts w:ascii="Verdana" w:eastAsia="Verdana" w:hAnsi="Verdana" w:cs="Verdana"/>
          <w:sz w:val="22"/>
          <w:szCs w:val="22"/>
        </w:rPr>
        <w:t xml:space="preserve">Hay que preguntarse por la proporcionalidad entre la inversión a realizar y la mejora en la accesibilidad que ofrece. Así, se analizará que la propuesta realizada sea la mejor opción frente a otras alternativas posibles. </w:t>
      </w:r>
    </w:p>
    <w:p w14:paraId="211B9B1C" w14:textId="42DAEB58" w:rsidR="00C10270" w:rsidRDefault="00C10270" w:rsidP="00C10270">
      <w:pPr>
        <w:ind w:left="0" w:firstLine="0"/>
      </w:pPr>
    </w:p>
    <w:p w14:paraId="42C045BA" w14:textId="77777777" w:rsidR="00C10270" w:rsidRPr="001729EF" w:rsidRDefault="00C10270" w:rsidP="00C10270">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621D1951" w14:textId="77777777" w:rsidR="00BF4984" w:rsidRPr="00BF4984" w:rsidRDefault="00BF4984" w:rsidP="00BF4984">
      <w:pPr>
        <w:pStyle w:val="Citadestacada"/>
      </w:pPr>
      <w:r w:rsidRPr="00BF4984">
        <w:t>Supongamos dos viales entre los que haya un gran desnivel que imposibilite la construcción de una rampa.</w:t>
      </w:r>
    </w:p>
    <w:p w14:paraId="638364D6" w14:textId="07A7CEAB" w:rsidR="00C10270" w:rsidRPr="00BF4984" w:rsidRDefault="00BF4984" w:rsidP="00BF4984">
      <w:pPr>
        <w:pStyle w:val="Citadestacada"/>
        <w:rPr>
          <w:rFonts w:asciiTheme="minorHAnsi" w:hAnsiTheme="minorHAnsi"/>
          <w:color w:val="auto"/>
        </w:rPr>
      </w:pPr>
      <w:r w:rsidRPr="00BF4984">
        <w:t>La solución para garantizar un itinerario peatonal accesible entre ambos podría ser instalar un ascensor urbano, tal y como se establece en el</w:t>
      </w:r>
      <w:r>
        <w:t xml:space="preserve"> apartado 8 “Ascensores” del capítulo “Vías públicas”.</w:t>
      </w:r>
    </w:p>
    <w:p w14:paraId="3E1C3C91" w14:textId="77777777" w:rsidR="00BF4984" w:rsidRPr="00BF4984" w:rsidRDefault="00BF4984" w:rsidP="00BF4984">
      <w:pPr>
        <w:pStyle w:val="Citadestacada"/>
      </w:pPr>
      <w:r w:rsidRPr="00BF4984">
        <w:t>Se trata de una manera de resolver la accesibilidad en el entorno, cumpliendo la normativa vigente. Sin embargo, al mismo tiempo es una medida de elevado presupuesto y grandes dotaciones anuales para mantenimiento.</w:t>
      </w:r>
    </w:p>
    <w:p w14:paraId="5C4C678F" w14:textId="77777777" w:rsidR="00BF4984" w:rsidRPr="00BF4984" w:rsidRDefault="00BF4984" w:rsidP="00BF4984">
      <w:pPr>
        <w:pStyle w:val="Citadestacada"/>
      </w:pPr>
      <w:r w:rsidRPr="00BF4984">
        <w:t xml:space="preserve">Supongamos ahora que en uno de los viales mencionados se sitúa un hospital (el tránsito peatonal entre ambas calles sería preferente). En este caso, sería necesario garantizar la accesibilidad del entorno con el ascensor. </w:t>
      </w:r>
    </w:p>
    <w:p w14:paraId="7A2DAD77" w14:textId="77777777" w:rsidR="00BF4984" w:rsidRPr="00BF4984" w:rsidRDefault="00BF4984" w:rsidP="00BF4984">
      <w:pPr>
        <w:pStyle w:val="Citadestacada"/>
      </w:pPr>
      <w:r w:rsidRPr="00BF4984">
        <w:t xml:space="preserve">Sin embargo, si ambos viales albergan solo edificios residenciales y el tránsito entre ellos es esporádico, se puede optar por una solución alternativa. Por ejemplo, un itinerario peatonal accesible bien señalizado que rodee el desnivel y comunique ambas calles. </w:t>
      </w:r>
    </w:p>
    <w:p w14:paraId="6AE44A53" w14:textId="428A18BC" w:rsidR="00BF4984" w:rsidRDefault="00BF4984" w:rsidP="00BF4984">
      <w:pPr>
        <w:pStyle w:val="Citadestacada"/>
      </w:pPr>
      <w:r w:rsidRPr="00BF4984">
        <w:t>En este segundo caso, el recorrido será mayor, y con ello se merman las condiciones de accesibilidad. Pero parece justificado optar por una alternativa de baja inversión, dado el uso real del entorno urbano.</w:t>
      </w:r>
    </w:p>
    <w:p w14:paraId="46E3C926" w14:textId="77777777" w:rsidR="00BF4984" w:rsidRPr="00BF4984" w:rsidRDefault="00BF4984" w:rsidP="00BF4984"/>
    <w:p w14:paraId="4AED2B95" w14:textId="64D65817" w:rsidR="00BF4984" w:rsidRDefault="00BF4984" w:rsidP="00BF4984">
      <w:pPr>
        <w:spacing w:line="276" w:lineRule="auto"/>
        <w:ind w:left="0" w:hanging="2"/>
        <w:rPr>
          <w:rFonts w:ascii="Verdana" w:eastAsia="Verdana" w:hAnsi="Verdana" w:cs="Verdana"/>
          <w:sz w:val="22"/>
          <w:szCs w:val="22"/>
        </w:rPr>
      </w:pPr>
      <w:r w:rsidRPr="00BF4984">
        <w:rPr>
          <w:rFonts w:ascii="Verdana" w:eastAsia="Verdana" w:hAnsi="Verdana" w:cs="Verdana"/>
          <w:sz w:val="22"/>
          <w:szCs w:val="22"/>
        </w:rPr>
        <w:t xml:space="preserve">Según la nomenclatura del CTE DA DB-SUA/2, pueden considerarse </w:t>
      </w:r>
      <w:r w:rsidRPr="00BF4984">
        <w:rPr>
          <w:rFonts w:ascii="Verdana" w:eastAsia="Verdana" w:hAnsi="Verdana" w:cs="Verdana"/>
          <w:b/>
          <w:sz w:val="22"/>
          <w:szCs w:val="22"/>
        </w:rPr>
        <w:t>tolerancias admisibles</w:t>
      </w:r>
      <w:r w:rsidRPr="00BF4984">
        <w:rPr>
          <w:rFonts w:ascii="Verdana" w:eastAsia="Verdana" w:hAnsi="Verdana" w:cs="Verdana"/>
          <w:sz w:val="22"/>
          <w:szCs w:val="22"/>
        </w:rPr>
        <w:t xml:space="preserve"> los criterios de flexibilización de la normativa que se aplican al intervenir en entornos existentes en los que no sea viable alcanzar los niveles mínimos normativos.</w:t>
      </w:r>
    </w:p>
    <w:p w14:paraId="0DFE4998" w14:textId="77777777" w:rsidR="00BF4984" w:rsidRPr="00BF4984" w:rsidRDefault="00BF4984" w:rsidP="00BF4984">
      <w:pPr>
        <w:spacing w:line="276" w:lineRule="auto"/>
        <w:ind w:left="0" w:hanging="2"/>
        <w:rPr>
          <w:rFonts w:ascii="Verdana" w:eastAsia="Verdana" w:hAnsi="Verdana" w:cs="Verdana"/>
          <w:sz w:val="22"/>
          <w:szCs w:val="22"/>
        </w:rPr>
      </w:pPr>
    </w:p>
    <w:p w14:paraId="7F907B47" w14:textId="77777777" w:rsidR="00BF4984" w:rsidRPr="001729EF" w:rsidRDefault="00BF4984" w:rsidP="00BF4984">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5ED921A9" w14:textId="2D2B3E1E" w:rsidR="00BF4984" w:rsidRDefault="00BF4984" w:rsidP="00BF4984">
      <w:pPr>
        <w:pStyle w:val="Citadestacada"/>
      </w:pPr>
      <w:r>
        <w:t xml:space="preserve">Supongamos que debido a la intensidad de uso de una parada de autobús urbano sea necesario disponer de marquesina en la vía pública y la acera </w:t>
      </w:r>
      <w:r w:rsidRPr="00D83CC8">
        <w:t xml:space="preserve">con la que se cuenta no permite un espacio libre de paso de 180 cm </w:t>
      </w:r>
      <w:sdt>
        <w:sdtPr>
          <w:tag w:val="goog_rdk_1"/>
          <w:id w:val="1015043845"/>
        </w:sdtPr>
        <w:sdtContent/>
      </w:sdt>
      <w:r w:rsidRPr="00D83CC8">
        <w:t>tras su instalación, tal y como se establece en el</w:t>
      </w:r>
      <w:r>
        <w:t xml:space="preserve"> apartado 4 “Conexión con el transporte público” del Capítulo “Interacción con medios de transporte”</w:t>
      </w:r>
    </w:p>
    <w:p w14:paraId="27F25956" w14:textId="77777777" w:rsidR="00BF4984" w:rsidRDefault="00BF4984" w:rsidP="00BF4984">
      <w:pPr>
        <w:pStyle w:val="Citadestacada"/>
      </w:pPr>
      <w:r>
        <w:t>En primer lugar, hay que analizar el entorno en busca de alternativas para implantar la marquesina. Podría emplearse parte de la zona de aparcamiento de vehículos o incluso preguntarse si esa acera es el lugar indicado para una parada con tal afluencia de viajeros.</w:t>
      </w:r>
    </w:p>
    <w:p w14:paraId="1759FD1B" w14:textId="77777777" w:rsidR="00BF4984" w:rsidRDefault="00BF4984" w:rsidP="00BF4984">
      <w:pPr>
        <w:pStyle w:val="Citadestacada"/>
      </w:pPr>
      <w:r>
        <w:t>Comprobado que no hay otra alternativa podremos plantearnos recurrir a una adaptación efectiva. Esta partirá de proponer una solución que suponga una mejora real de la accesibilidad.</w:t>
      </w:r>
    </w:p>
    <w:p w14:paraId="724FA582" w14:textId="77777777" w:rsidR="00BF4984" w:rsidRDefault="00BF4984" w:rsidP="00BF4984">
      <w:pPr>
        <w:pStyle w:val="Citadestacada"/>
      </w:pPr>
      <w:r>
        <w:t>Si la marquesina deja un paso libre de al menos 90 cm, una silla de ruedas podrá emplearlo. Es decir, no se cumplirá la normativa vigente, pero la adaptación propuesta será efectiva para la mayor parte de los usuarios de sillas de ruedas.</w:t>
      </w:r>
    </w:p>
    <w:p w14:paraId="748D6EF9" w14:textId="77777777" w:rsidR="00BF4984" w:rsidRDefault="00BF4984" w:rsidP="00BF4984">
      <w:pPr>
        <w:pStyle w:val="Citadestacada"/>
      </w:pPr>
      <w:r>
        <w:t>Si por contra se reduce el ancho de paso a 70 cm, la adaptación no será efectiva, por no servir a la finalidad de alcanzar un entorno accesible.</w:t>
      </w:r>
    </w:p>
    <w:p w14:paraId="30F2DFE6" w14:textId="77777777" w:rsidR="00BF4984" w:rsidRDefault="00BF4984" w:rsidP="00BF4984">
      <w:pPr>
        <w:ind w:left="0" w:hanging="2"/>
        <w:jc w:val="both"/>
        <w:rPr>
          <w:rFonts w:ascii="Verdana" w:eastAsia="Verdana" w:hAnsi="Verdana" w:cs="Verdana"/>
        </w:rPr>
      </w:pPr>
    </w:p>
    <w:p w14:paraId="63FD830E" w14:textId="4C2B373C" w:rsidR="00BF4984" w:rsidRPr="00BF4984" w:rsidRDefault="00BF4984" w:rsidP="00BF4984">
      <w:pPr>
        <w:spacing w:line="276" w:lineRule="auto"/>
        <w:ind w:left="0" w:hanging="2"/>
        <w:rPr>
          <w:rFonts w:ascii="Verdana" w:eastAsia="Verdana" w:hAnsi="Verdana" w:cs="Verdana"/>
          <w:sz w:val="22"/>
          <w:szCs w:val="22"/>
        </w:rPr>
      </w:pPr>
      <w:r w:rsidRPr="00BF4984">
        <w:rPr>
          <w:rFonts w:ascii="Verdana" w:eastAsia="Verdana" w:hAnsi="Verdana" w:cs="Verdana"/>
          <w:sz w:val="22"/>
          <w:szCs w:val="22"/>
        </w:rPr>
        <w:t>En resumen, la ciudad puede tener distintos niveles de accesibilidad que se consideren como ajustes razonables del entorno. Irían desde la simple aplicación de la normativa hasta el empleo de criterios de flexibilización (tolerancias admisibles) que responden a un mínimo funcional y suponen la adaptación efectiva del espacio público urbanizado.</w:t>
      </w:r>
    </w:p>
    <w:p w14:paraId="0F99A0DB" w14:textId="77777777" w:rsidR="00BF4984" w:rsidRPr="00BF4984" w:rsidRDefault="00BF4984" w:rsidP="00BF4984">
      <w:pPr>
        <w:spacing w:line="276" w:lineRule="auto"/>
        <w:ind w:left="0" w:hanging="2"/>
        <w:rPr>
          <w:rFonts w:ascii="Verdana" w:eastAsia="Verdana" w:hAnsi="Verdana" w:cs="Verdana"/>
          <w:sz w:val="22"/>
          <w:szCs w:val="22"/>
        </w:rPr>
      </w:pPr>
      <w:r w:rsidRPr="00BF4984">
        <w:rPr>
          <w:rFonts w:ascii="Verdana" w:eastAsia="Verdana" w:hAnsi="Verdana" w:cs="Verdana"/>
          <w:sz w:val="22"/>
          <w:szCs w:val="22"/>
        </w:rPr>
        <w:t>A la hora de aplicar los criterios de tolerancia, en el caso del espacio público urbanizado, no hay guiones establecidos. Tampoco dimensiones o descripciones reglamentarias. La Orden TMA/851/2021 contempla explícitamente la posibilidad de "adecuación efectiva". Hablamos tan solo de una serie de pautas de análisis de cada caso particular. Además, se cuenta con la versatilidad de los encargados de la redacción de proyectos, que intentarán solucionar las necesidades particulares de los usuarios en su entorno.</w:t>
      </w:r>
    </w:p>
    <w:p w14:paraId="13BCB333" w14:textId="77777777" w:rsidR="00BF4984" w:rsidRPr="00BF4984" w:rsidRDefault="00BF4984" w:rsidP="00BF4984">
      <w:pPr>
        <w:spacing w:line="276" w:lineRule="auto"/>
        <w:ind w:left="0" w:hanging="2"/>
        <w:rPr>
          <w:rFonts w:ascii="Verdana" w:eastAsia="Verdana" w:hAnsi="Verdana" w:cs="Verdana"/>
          <w:sz w:val="22"/>
          <w:szCs w:val="22"/>
        </w:rPr>
      </w:pPr>
      <w:r w:rsidRPr="00BF4984">
        <w:rPr>
          <w:rFonts w:ascii="Verdana" w:eastAsia="Verdana" w:hAnsi="Verdana" w:cs="Verdana"/>
          <w:sz w:val="22"/>
          <w:szCs w:val="22"/>
        </w:rPr>
        <w:t>El mero cumplimiento normativo en materia de accesibilidad no agota la tarea en este campo. Entender el articulado normativo como un mínimo de obligado cumplimiento permite aportar soluciones que podemos llamar “</w:t>
      </w:r>
      <w:r w:rsidRPr="00BF4984">
        <w:rPr>
          <w:rFonts w:ascii="Verdana" w:eastAsia="Verdana" w:hAnsi="Verdana" w:cs="Verdana"/>
          <w:b/>
          <w:sz w:val="22"/>
          <w:szCs w:val="22"/>
        </w:rPr>
        <w:t>buenas prácticas</w:t>
      </w:r>
      <w:r w:rsidRPr="00BF4984">
        <w:rPr>
          <w:rFonts w:ascii="Verdana" w:eastAsia="Verdana" w:hAnsi="Verdana" w:cs="Verdana"/>
          <w:sz w:val="22"/>
          <w:szCs w:val="22"/>
        </w:rPr>
        <w:t xml:space="preserve">” en respuesta a las </w:t>
      </w:r>
      <w:r w:rsidRPr="00BF4984">
        <w:rPr>
          <w:rFonts w:ascii="Verdana" w:eastAsia="Verdana" w:hAnsi="Verdana" w:cs="Verdana"/>
          <w:b/>
          <w:sz w:val="22"/>
          <w:szCs w:val="22"/>
        </w:rPr>
        <w:t>necesidades específicas de las personas</w:t>
      </w:r>
      <w:r w:rsidRPr="00BF4984">
        <w:rPr>
          <w:rFonts w:ascii="Verdana" w:eastAsia="Verdana" w:hAnsi="Verdana" w:cs="Verdana"/>
          <w:sz w:val="22"/>
          <w:szCs w:val="22"/>
        </w:rPr>
        <w:t xml:space="preserve"> con discapacidad y su derecho al ajuste razonable de su entorno.</w:t>
      </w:r>
    </w:p>
    <w:p w14:paraId="6EFAD60B" w14:textId="1F4A7C81" w:rsidR="00BF4984" w:rsidRDefault="00BF4984" w:rsidP="00BF4984">
      <w:pPr>
        <w:ind w:left="0" w:firstLine="0"/>
      </w:pPr>
    </w:p>
    <w:p w14:paraId="4C6C82D3" w14:textId="77777777" w:rsidR="00BF4984" w:rsidRPr="001729EF" w:rsidRDefault="00BF4984" w:rsidP="00BF4984">
      <w:pPr>
        <w:pStyle w:val="Prrafodelista"/>
        <w:numPr>
          <w:ilvl w:val="0"/>
          <w:numId w:val="7"/>
        </w:numPr>
        <w:spacing w:before="360" w:after="0"/>
        <w:ind w:left="567" w:hanging="567"/>
        <w:contextualSpacing w:val="0"/>
        <w:rPr>
          <w:rFonts w:ascii="Verdana" w:hAnsi="Verdana"/>
          <w:b/>
          <w:bCs/>
          <w:color w:val="0070C0"/>
          <w:sz w:val="22"/>
          <w:lang w:val="es-ES_tradnl"/>
        </w:rPr>
      </w:pPr>
      <w:r w:rsidRPr="001729EF">
        <w:rPr>
          <w:rFonts w:ascii="Verdana" w:hAnsi="Verdana"/>
          <w:b/>
          <w:bCs/>
          <w:color w:val="0070C0"/>
          <w:sz w:val="22"/>
          <w:lang w:val="es-ES_tradnl"/>
        </w:rPr>
        <w:t>Recomendaciones de buenas prácticas</w:t>
      </w:r>
    </w:p>
    <w:p w14:paraId="18B12976" w14:textId="39264846" w:rsidR="00BF4984" w:rsidRPr="00BF4984" w:rsidRDefault="00BF4984" w:rsidP="00BF4984">
      <w:pPr>
        <w:pStyle w:val="Citadestacada"/>
      </w:pPr>
      <w:r w:rsidRPr="00BF4984">
        <w:t>A la hora de buscar tolerancias admisibles que permitan la adecuación efectiva de entornos urbanizados consolidados, podemos apoyarnos en lo establecido en el Decreto 13/2007 de la Comunidad de Madrid, donde a la hora de definir un itinerario peatonal practicable lo establece como:</w:t>
      </w:r>
    </w:p>
    <w:p w14:paraId="5F90655A" w14:textId="23F9C91D" w:rsidR="00BF4984" w:rsidRPr="00BF4984" w:rsidRDefault="00BF4984" w:rsidP="00BF4984">
      <w:pPr>
        <w:pStyle w:val="Citadestacada"/>
        <w:rPr>
          <w:i/>
        </w:rPr>
      </w:pPr>
      <w:r w:rsidRPr="00BF4984">
        <w:rPr>
          <w:i/>
        </w:rPr>
        <w:t xml:space="preserve">“El volumen de desarrollo </w:t>
      </w:r>
      <w:proofErr w:type="gramStart"/>
      <w:r w:rsidRPr="00BF4984">
        <w:rPr>
          <w:i/>
        </w:rPr>
        <w:t>continuo</w:t>
      </w:r>
      <w:proofErr w:type="gramEnd"/>
      <w:r w:rsidRPr="00BF4984">
        <w:rPr>
          <w:i/>
        </w:rPr>
        <w:t xml:space="preserve"> formado por la longitud del itinerario y un área perpendicular al suelo de </w:t>
      </w:r>
      <w:r w:rsidRPr="00BF4984">
        <w:rPr>
          <w:b/>
          <w:i/>
        </w:rPr>
        <w:t>90 cm de ancho y 210 cm de altura</w:t>
      </w:r>
      <w:r w:rsidRPr="00BF4984">
        <w:rPr>
          <w:i/>
        </w:rPr>
        <w:t xml:space="preserve"> cuyos elementos cumplen las características establecidas para los itinerarios peatonales”</w:t>
      </w:r>
      <w:r w:rsidR="003720DB">
        <w:rPr>
          <w:i/>
        </w:rPr>
        <w:t>.</w:t>
      </w:r>
    </w:p>
    <w:p w14:paraId="079724D4" w14:textId="3649B1D3" w:rsidR="00BF4984" w:rsidRDefault="00BF4984" w:rsidP="00BF4984">
      <w:pPr>
        <w:ind w:left="0" w:firstLine="0"/>
      </w:pPr>
    </w:p>
    <w:p w14:paraId="4437C0D9" w14:textId="6DC22A0D" w:rsidR="00BF4984" w:rsidRDefault="00BF4984" w:rsidP="00BF4984">
      <w:pPr>
        <w:spacing w:line="276" w:lineRule="auto"/>
        <w:ind w:left="0" w:firstLine="0"/>
      </w:pPr>
      <w:r>
        <w:rPr>
          <w:rFonts w:ascii="Verdana" w:eastAsia="Verdana" w:hAnsi="Verdana" w:cs="Verdana"/>
          <w:noProof/>
          <w:sz w:val="18"/>
          <w:szCs w:val="18"/>
        </w:rPr>
        <w:drawing>
          <wp:inline distT="0" distB="0" distL="114300" distR="114300" wp14:anchorId="2C60FD95" wp14:editId="2F37AA90">
            <wp:extent cx="5755005" cy="3236595"/>
            <wp:effectExtent l="0" t="0" r="0" b="0"/>
            <wp:docPr id="1028"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28" name="image3.jp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5755005" cy="3236595"/>
                    </a:xfrm>
                    <a:prstGeom prst="rect">
                      <a:avLst/>
                    </a:prstGeom>
                    <a:ln/>
                  </pic:spPr>
                </pic:pic>
              </a:graphicData>
            </a:graphic>
          </wp:inline>
        </w:drawing>
      </w:r>
    </w:p>
    <w:p w14:paraId="04B451C7" w14:textId="77777777" w:rsidR="00BF4984" w:rsidRDefault="00BF4984" w:rsidP="00BF4984">
      <w:pPr>
        <w:spacing w:line="276" w:lineRule="auto"/>
        <w:ind w:left="0" w:hanging="2"/>
        <w:rPr>
          <w:rFonts w:ascii="Verdana" w:eastAsia="Verdana" w:hAnsi="Verdana" w:cs="Verdana"/>
          <w:sz w:val="18"/>
          <w:szCs w:val="18"/>
        </w:rPr>
      </w:pPr>
      <w:r>
        <w:rPr>
          <w:rFonts w:ascii="Verdana" w:eastAsia="Verdana" w:hAnsi="Verdana" w:cs="Verdana"/>
          <w:color w:val="1F4E79"/>
          <w:sz w:val="18"/>
          <w:szCs w:val="18"/>
        </w:rPr>
        <w:t>Imagen 1. Rampa removible en los Nuevos Ministerios</w:t>
      </w:r>
    </w:p>
    <w:p w14:paraId="4CD439A5" w14:textId="3D4602BF" w:rsidR="00BF4984" w:rsidRDefault="00BF4984" w:rsidP="00BF4984">
      <w:pPr>
        <w:spacing w:line="276" w:lineRule="auto"/>
        <w:ind w:left="0" w:firstLine="0"/>
      </w:pPr>
      <w:r>
        <w:rPr>
          <w:rFonts w:ascii="Verdana" w:eastAsia="Verdana" w:hAnsi="Verdana" w:cs="Verdana"/>
          <w:noProof/>
          <w:sz w:val="18"/>
          <w:szCs w:val="18"/>
        </w:rPr>
        <w:lastRenderedPageBreak/>
        <w:drawing>
          <wp:inline distT="0" distB="0" distL="114300" distR="114300" wp14:anchorId="213EA1BD" wp14:editId="059735ED">
            <wp:extent cx="5755005" cy="3236595"/>
            <wp:effectExtent l="0" t="0" r="0" b="0"/>
            <wp:docPr id="103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32" name="image2.jp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5755005" cy="3236595"/>
                    </a:xfrm>
                    <a:prstGeom prst="rect">
                      <a:avLst/>
                    </a:prstGeom>
                    <a:ln/>
                  </pic:spPr>
                </pic:pic>
              </a:graphicData>
            </a:graphic>
          </wp:inline>
        </w:drawing>
      </w:r>
    </w:p>
    <w:p w14:paraId="6843A41F" w14:textId="07848C98" w:rsidR="00BF4984" w:rsidRDefault="00BF4984" w:rsidP="00BF4984">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Imagen 2. Rampa removible de acceso a comercio en la calle de Clara del Rey</w:t>
      </w:r>
    </w:p>
    <w:p w14:paraId="05FC35B9" w14:textId="5FC5CF0D" w:rsidR="00BF4984" w:rsidRDefault="00BF4984" w:rsidP="00BF4984">
      <w:pPr>
        <w:spacing w:line="276" w:lineRule="auto"/>
        <w:ind w:left="0" w:hanging="2"/>
        <w:rPr>
          <w:rFonts w:ascii="Verdana" w:eastAsia="Verdana" w:hAnsi="Verdana" w:cs="Verdana"/>
          <w:color w:val="1F4E79"/>
          <w:sz w:val="18"/>
          <w:szCs w:val="18"/>
        </w:rPr>
      </w:pPr>
      <w:r>
        <w:rPr>
          <w:rFonts w:ascii="Verdana" w:eastAsia="Verdana" w:hAnsi="Verdana" w:cs="Verdana"/>
          <w:color w:val="1F4E79"/>
          <w:sz w:val="18"/>
          <w:szCs w:val="18"/>
        </w:rPr>
        <w:t>Cuando se prevea generar un escalón lateral, como sucede en la imagen anterior, una solución para eliminarlo es instalar una rampa de tres planos inclinados que, en ningún caso, debe constituir un obstáculo en el IPA. En este caso se complementa su señalización con dos bolardos de color contrastado</w:t>
      </w:r>
    </w:p>
    <w:p w14:paraId="42A5040F" w14:textId="77777777" w:rsidR="00BF4984" w:rsidRDefault="00BF4984" w:rsidP="00BF4984">
      <w:pPr>
        <w:spacing w:line="276" w:lineRule="auto"/>
        <w:ind w:left="0" w:hanging="2"/>
        <w:rPr>
          <w:rFonts w:ascii="Verdana" w:eastAsia="Verdana" w:hAnsi="Verdana" w:cs="Verdana"/>
          <w:sz w:val="18"/>
          <w:szCs w:val="18"/>
        </w:rPr>
      </w:pPr>
    </w:p>
    <w:p w14:paraId="41E423F1" w14:textId="6CAC4A2E" w:rsidR="00BF4984" w:rsidRDefault="004D3558" w:rsidP="00BF4984">
      <w:pPr>
        <w:spacing w:line="276" w:lineRule="auto"/>
        <w:ind w:left="0" w:firstLine="0"/>
      </w:pPr>
      <w:r>
        <w:rPr>
          <w:noProof/>
        </w:rPr>
        <w:drawing>
          <wp:inline distT="0" distB="0" distL="0" distR="0" wp14:anchorId="28A6B5D5" wp14:editId="09458556">
            <wp:extent cx="2007787" cy="3667327"/>
            <wp:effectExtent l="0" t="0" r="0" b="3175"/>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4316" cy="3697517"/>
                    </a:xfrm>
                    <a:prstGeom prst="rect">
                      <a:avLst/>
                    </a:prstGeom>
                  </pic:spPr>
                </pic:pic>
              </a:graphicData>
            </a:graphic>
          </wp:inline>
        </w:drawing>
      </w:r>
    </w:p>
    <w:p w14:paraId="0E49B9BB" w14:textId="2D1B3ED0" w:rsidR="00BF4984" w:rsidRDefault="00BF4984" w:rsidP="00BF4984">
      <w:pPr>
        <w:spacing w:line="276" w:lineRule="auto"/>
        <w:ind w:left="0" w:hanging="2"/>
        <w:jc w:val="both"/>
        <w:rPr>
          <w:rFonts w:ascii="Verdana" w:eastAsia="Verdana" w:hAnsi="Verdana" w:cs="Verdana"/>
          <w:sz w:val="18"/>
          <w:szCs w:val="18"/>
        </w:rPr>
      </w:pPr>
      <w:r>
        <w:rPr>
          <w:rFonts w:ascii="Verdana" w:eastAsia="Verdana" w:hAnsi="Verdana" w:cs="Verdana"/>
          <w:color w:val="1F4E79"/>
          <w:sz w:val="18"/>
          <w:szCs w:val="18"/>
        </w:rPr>
        <w:t xml:space="preserve">Imagen 3. </w:t>
      </w:r>
      <w:r w:rsidR="004D3558">
        <w:rPr>
          <w:rFonts w:ascii="Verdana" w:eastAsia="Verdana" w:hAnsi="Verdana" w:cs="Verdana"/>
          <w:color w:val="1F4E79"/>
          <w:sz w:val="18"/>
          <w:szCs w:val="18"/>
        </w:rPr>
        <w:t>Junta Municipal de Arganzuela, Madrid. Rampa junto a edificio protegido sin afectar a su naturaleza constructiva</w:t>
      </w:r>
    </w:p>
    <w:p w14:paraId="2C031BAE" w14:textId="77777777" w:rsidR="00BF4984" w:rsidRPr="00BF4984" w:rsidRDefault="00BF4984" w:rsidP="00BF4984">
      <w:pPr>
        <w:ind w:left="0" w:firstLine="0"/>
      </w:pPr>
    </w:p>
    <w:sectPr w:rsidR="00BF4984" w:rsidRPr="00BF4984" w:rsidSect="001A1A17">
      <w:headerReference w:type="default" r:id="rId22"/>
      <w:footerReference w:type="even" r:id="rId23"/>
      <w:footerReference w:type="default" r:id="rId24"/>
      <w:pgSz w:w="11900" w:h="16840"/>
      <w:pgMar w:top="1417" w:right="985" w:bottom="1417" w:left="1701" w:header="708" w:footer="2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8B444" w14:textId="77777777" w:rsidR="006A0D5A" w:rsidRDefault="006A0D5A" w:rsidP="00630B82">
      <w:pPr>
        <w:spacing w:before="0" w:after="0" w:line="240" w:lineRule="auto"/>
      </w:pPr>
      <w:r>
        <w:separator/>
      </w:r>
    </w:p>
  </w:endnote>
  <w:endnote w:type="continuationSeparator" w:id="0">
    <w:p w14:paraId="1E18FE92" w14:textId="77777777" w:rsidR="006A0D5A" w:rsidRDefault="006A0D5A" w:rsidP="00630B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Títulos en alf">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12105247"/>
      <w:docPartObj>
        <w:docPartGallery w:val="Page Numbers (Bottom of Page)"/>
        <w:docPartUnique/>
      </w:docPartObj>
    </w:sdtPr>
    <w:sdtContent>
      <w:p w14:paraId="0D47FA37" w14:textId="2624BF34" w:rsidR="00A952A1" w:rsidRDefault="00A952A1" w:rsidP="00355CB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36966031"/>
      <w:docPartObj>
        <w:docPartGallery w:val="Page Numbers (Bottom of Page)"/>
        <w:docPartUnique/>
      </w:docPartObj>
    </w:sdtPr>
    <w:sdtContent>
      <w:p w14:paraId="72209E20" w14:textId="24866087" w:rsidR="00A952A1" w:rsidRDefault="00A952A1" w:rsidP="00A952A1">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0833ADD" w14:textId="77777777" w:rsidR="0029633F" w:rsidRDefault="0029633F" w:rsidP="00A952A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b/>
        <w:bCs/>
      </w:rPr>
      <w:id w:val="-1990398839"/>
      <w:docPartObj>
        <w:docPartGallery w:val="Page Numbers (Bottom of Page)"/>
        <w:docPartUnique/>
      </w:docPartObj>
    </w:sdtPr>
    <w:sdtEndPr>
      <w:rPr>
        <w:rStyle w:val="Nmerodepgina"/>
        <w:rFonts w:ascii="Verdana" w:hAnsi="Verdana"/>
      </w:rPr>
    </w:sdtEndPr>
    <w:sdtContent>
      <w:p w14:paraId="3742E495" w14:textId="37C5CE19" w:rsidR="00A952A1" w:rsidRPr="000A4485" w:rsidRDefault="00F66371" w:rsidP="00127A48">
        <w:pPr>
          <w:pStyle w:val="Piedepgina"/>
          <w:framePr w:w="582" w:h="487" w:hRule="exact" w:wrap="none" w:vAnchor="text" w:hAnchor="page" w:x="10386" w:y="-34"/>
          <w:ind w:left="0" w:firstLine="0"/>
          <w:rPr>
            <w:rStyle w:val="Nmerodepgina"/>
            <w:b/>
            <w:bCs/>
          </w:rPr>
        </w:pPr>
        <w:r w:rsidRPr="000A4485">
          <w:rPr>
            <w:rStyle w:val="Nmerodepgina"/>
            <w:b/>
            <w:bCs/>
          </w:rPr>
          <w:t xml:space="preserve">    </w:t>
        </w:r>
        <w:r w:rsidR="00A952A1" w:rsidRPr="000A4485">
          <w:rPr>
            <w:rStyle w:val="Nmerodepgina"/>
            <w:b/>
            <w:bCs/>
          </w:rPr>
          <w:fldChar w:fldCharType="begin"/>
        </w:r>
        <w:r w:rsidR="00A952A1" w:rsidRPr="000A4485">
          <w:rPr>
            <w:rStyle w:val="Nmerodepgina"/>
            <w:b/>
            <w:bCs/>
          </w:rPr>
          <w:instrText xml:space="preserve"> PAGE </w:instrText>
        </w:r>
        <w:r w:rsidR="00A952A1" w:rsidRPr="000A4485">
          <w:rPr>
            <w:rStyle w:val="Nmerodepgina"/>
            <w:b/>
            <w:bCs/>
          </w:rPr>
          <w:fldChar w:fldCharType="separate"/>
        </w:r>
        <w:r w:rsidR="00A952A1" w:rsidRPr="000A4485">
          <w:rPr>
            <w:rStyle w:val="Nmerodepgina"/>
            <w:b/>
            <w:bCs/>
            <w:noProof/>
          </w:rPr>
          <w:t>2</w:t>
        </w:r>
        <w:r w:rsidR="00A952A1" w:rsidRPr="000A4485">
          <w:rPr>
            <w:rStyle w:val="Nmerodepgina"/>
            <w:b/>
            <w:bCs/>
          </w:rPr>
          <w:fldChar w:fldCharType="end"/>
        </w:r>
      </w:p>
    </w:sdtContent>
  </w:sdt>
  <w:p w14:paraId="7797172F" w14:textId="511ED361" w:rsidR="00A952A1" w:rsidRPr="00A952A1" w:rsidRDefault="00A952A1" w:rsidP="001A1A17">
    <w:pPr>
      <w:spacing w:before="0" w:after="0" w:line="276" w:lineRule="auto"/>
      <w:ind w:left="0" w:right="2126" w:firstLine="0"/>
      <w:rPr>
        <w:rFonts w:ascii="Verdana" w:hAnsi="Verdana"/>
        <w:color w:val="2F5496" w:themeColor="accent1" w:themeShade="BF"/>
        <w:sz w:val="18"/>
        <w:szCs w:val="18"/>
      </w:rPr>
    </w:pPr>
    <w:r w:rsidRPr="00A952A1">
      <w:rPr>
        <w:rFonts w:ascii="Verdana" w:hAnsi="Verdana"/>
        <w:color w:val="2F5496" w:themeColor="accent1" w:themeShade="BF"/>
        <w:sz w:val="18"/>
        <w:szCs w:val="18"/>
      </w:rPr>
      <w:t xml:space="preserve">Manual de Accesibilidad para </w:t>
    </w:r>
    <w:r w:rsidR="003C0FA3">
      <w:rPr>
        <w:rFonts w:ascii="Verdana" w:hAnsi="Verdana"/>
        <w:color w:val="2F5496" w:themeColor="accent1" w:themeShade="BF"/>
        <w:sz w:val="18"/>
        <w:szCs w:val="18"/>
      </w:rPr>
      <w:t>E</w:t>
    </w:r>
    <w:r w:rsidRPr="00A952A1">
      <w:rPr>
        <w:rFonts w:ascii="Verdana" w:hAnsi="Verdana"/>
        <w:color w:val="2F5496" w:themeColor="accent1" w:themeShade="BF"/>
        <w:sz w:val="18"/>
        <w:szCs w:val="18"/>
      </w:rPr>
      <w:t xml:space="preserve">spacios </w:t>
    </w:r>
    <w:r w:rsidR="003C0FA3">
      <w:rPr>
        <w:rFonts w:ascii="Verdana" w:hAnsi="Verdana"/>
        <w:color w:val="2F5496" w:themeColor="accent1" w:themeShade="BF"/>
        <w:sz w:val="18"/>
        <w:szCs w:val="18"/>
      </w:rPr>
      <w:t>P</w:t>
    </w:r>
    <w:r w:rsidRPr="00A952A1">
      <w:rPr>
        <w:rFonts w:ascii="Verdana" w:hAnsi="Verdana"/>
        <w:color w:val="2F5496" w:themeColor="accent1" w:themeShade="BF"/>
        <w:sz w:val="18"/>
        <w:szCs w:val="18"/>
      </w:rPr>
      <w:t xml:space="preserve">úblicos </w:t>
    </w:r>
    <w:r w:rsidR="003C0FA3">
      <w:rPr>
        <w:rFonts w:ascii="Verdana" w:hAnsi="Verdana"/>
        <w:color w:val="2F5496" w:themeColor="accent1" w:themeShade="BF"/>
        <w:sz w:val="18"/>
        <w:szCs w:val="18"/>
      </w:rPr>
      <w:t>U</w:t>
    </w:r>
    <w:r w:rsidRPr="00A952A1">
      <w:rPr>
        <w:rFonts w:ascii="Verdana" w:hAnsi="Verdana"/>
        <w:color w:val="2F5496" w:themeColor="accent1" w:themeShade="BF"/>
        <w:sz w:val="18"/>
        <w:szCs w:val="18"/>
      </w:rPr>
      <w:t>rbanizados del Ayuntamiento de Madrid. Versión 2022</w:t>
    </w:r>
    <w:r w:rsidR="001A1A17">
      <w:rPr>
        <w:rFonts w:ascii="Verdana" w:hAnsi="Verdana"/>
        <w:color w:val="2F5496" w:themeColor="accent1" w:themeShade="BF"/>
        <w:sz w:val="18"/>
        <w:szCs w:val="18"/>
      </w:rPr>
      <w:t xml:space="preserve"> adaptada a lectores de pantalla</w:t>
    </w:r>
  </w:p>
  <w:p w14:paraId="427B7395" w14:textId="62627BD6" w:rsidR="00166EB4" w:rsidRPr="00A952A1" w:rsidRDefault="001A1A17" w:rsidP="001A1A17">
    <w:pPr>
      <w:pStyle w:val="Piedepgina"/>
      <w:ind w:left="6946" w:right="1306" w:firstLine="0"/>
    </w:pPr>
    <w:r w:rsidRPr="00A952A1">
      <w:rPr>
        <w:rFonts w:ascii="Verdana" w:hAnsi="Verdana"/>
        <w:noProof/>
        <w:color w:val="4472C4" w:themeColor="accent1"/>
        <w:sz w:val="20"/>
        <w:szCs w:val="20"/>
      </w:rPr>
      <w:drawing>
        <wp:inline distT="0" distB="0" distL="0" distR="0" wp14:anchorId="7735A3F2" wp14:editId="5FDF67A2">
          <wp:extent cx="1569720" cy="417195"/>
          <wp:effectExtent l="0" t="0" r="0" b="0"/>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69720" cy="4171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44B68" w14:textId="77777777" w:rsidR="006A0D5A" w:rsidRDefault="006A0D5A" w:rsidP="00630B82">
      <w:pPr>
        <w:spacing w:before="0" w:after="0" w:line="240" w:lineRule="auto"/>
      </w:pPr>
      <w:r>
        <w:separator/>
      </w:r>
    </w:p>
  </w:footnote>
  <w:footnote w:type="continuationSeparator" w:id="0">
    <w:p w14:paraId="35547800" w14:textId="77777777" w:rsidR="006A0D5A" w:rsidRDefault="006A0D5A" w:rsidP="00630B8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22FD" w14:textId="23DBD4F0" w:rsidR="00630B82" w:rsidRPr="00BD5B3B" w:rsidRDefault="00BD5B3B" w:rsidP="004E536E">
    <w:pPr>
      <w:pStyle w:val="Encabezado"/>
      <w:ind w:left="142" w:right="709" w:hanging="142"/>
      <w:jc w:val="right"/>
      <w:rPr>
        <w:color w:val="7030A0"/>
        <w:sz w:val="22"/>
        <w:szCs w:val="22"/>
      </w:rPr>
    </w:pPr>
    <w:r w:rsidRPr="007F57F4">
      <w:rPr>
        <w:rFonts w:ascii="Verdana" w:hAnsi="Verdana"/>
        <w:noProof/>
        <w:color w:val="002060"/>
        <w:sz w:val="20"/>
        <w:szCs w:val="20"/>
      </w:rPr>
      <mc:AlternateContent>
        <mc:Choice Requires="wps">
          <w:drawing>
            <wp:anchor distT="0" distB="0" distL="114300" distR="114300" simplePos="0" relativeHeight="251668480" behindDoc="0" locked="0" layoutInCell="1" allowOverlap="1" wp14:anchorId="04C0E5C3" wp14:editId="2A4B1EE0">
              <wp:simplePos x="0" y="0"/>
              <wp:positionH relativeFrom="column">
                <wp:posOffset>-13335</wp:posOffset>
              </wp:positionH>
              <wp:positionV relativeFrom="paragraph">
                <wp:posOffset>93345</wp:posOffset>
              </wp:positionV>
              <wp:extent cx="1762125" cy="0"/>
              <wp:effectExtent l="0" t="0" r="15875" b="12700"/>
              <wp:wrapNone/>
              <wp:docPr id="9" name="Conector rect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62125"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EFBAB" id="Conector recto 9" o:spid="_x0000_s1026" alt="&quot;&quot;"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7.35pt" to="137.7pt,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" strokecolor="#7030a0" strokeweight=".5pt">
              <v:stroke joinstyle="miter"/>
            </v:line>
          </w:pict>
        </mc:Fallback>
      </mc:AlternateContent>
    </w:r>
    <w:r w:rsidR="001141E3" w:rsidRPr="0089472A">
      <w:rPr>
        <w:noProof/>
        <w:color w:val="C04D5E"/>
      </w:rPr>
      <mc:AlternateContent>
        <mc:Choice Requires="wps">
          <w:drawing>
            <wp:anchor distT="0" distB="0" distL="114300" distR="114300" simplePos="0" relativeHeight="251670528" behindDoc="0" locked="0" layoutInCell="1" allowOverlap="1" wp14:anchorId="0D43C39E" wp14:editId="1EEC46CD">
              <wp:simplePos x="0" y="0"/>
              <wp:positionH relativeFrom="column">
                <wp:posOffset>5594773</wp:posOffset>
              </wp:positionH>
              <wp:positionV relativeFrom="paragraph">
                <wp:posOffset>-47625</wp:posOffset>
              </wp:positionV>
              <wp:extent cx="251979" cy="351692"/>
              <wp:effectExtent l="0" t="0" r="2540" b="4445"/>
              <wp:wrapNone/>
              <wp:docPr id="1" name="Rectángul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979" cy="35169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14641" id="Rectángulo 1" o:spid="_x0000_s1026" alt="&quot;&quot;" style="position:absolute;margin-left:440.55pt;margin-top:-3.75pt;width:19.85pt;height:2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" fillcolor="#7030a0" stroked="f" strokeweight="1pt">
              <o:lock v:ext="edit" aspectratio="t"/>
            </v:rect>
          </w:pict>
        </mc:Fallback>
      </mc:AlternateContent>
    </w:r>
    <w:r w:rsidR="00E208A9" w:rsidRPr="003F00E2">
      <w:rPr>
        <w:rFonts w:ascii="Verdana" w:hAnsi="Verdana"/>
        <w:color w:val="003298"/>
      </w:rPr>
      <w:tab/>
    </w:r>
    <w:r w:rsidR="00E208A9" w:rsidRPr="00BD5B3B">
      <w:rPr>
        <w:rFonts w:ascii="Verdana" w:hAnsi="Verdana"/>
        <w:color w:val="7030A0"/>
        <w:sz w:val="22"/>
        <w:szCs w:val="22"/>
      </w:rPr>
      <w:t>AJUSTES RAZONABLES</w:t>
    </w:r>
    <w:r w:rsidR="00414BE8">
      <w:rPr>
        <w:rFonts w:ascii="Verdana" w:hAnsi="Verdana"/>
        <w:color w:val="7030A0"/>
        <w:sz w:val="22"/>
        <w:szCs w:val="22"/>
      </w:rPr>
      <w:t xml:space="preserve"> Y ADECUACIÓN EFECTIVA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406.7pt;height:379.15pt" o:bullet="t">
        <v:imagedata r:id="rId1" o:title="logo_accesibilidad_universal_1-removebg-preview"/>
      </v:shape>
    </w:pict>
  </w:numPicBullet>
  <w:numPicBullet w:numPicBulletId="1">
    <w:pict>
      <v:shape w14:anchorId="69DD1C56" id="_x0000_i1121" type="#_x0000_t75" style="width:442.7pt;height:506.3pt" o:bullet="t">
        <v:imagedata r:id="rId2" o:title="Captura_de_pantalla_2022-05-27_a_las_13"/>
      </v:shape>
    </w:pict>
  </w:numPicBullet>
  <w:abstractNum w:abstractNumId="0" w15:restartNumberingAfterBreak="0">
    <w:nsid w:val="00DA5039"/>
    <w:multiLevelType w:val="multilevel"/>
    <w:tmpl w:val="B40810C6"/>
    <w:lvl w:ilvl="0">
      <w:start w:val="1"/>
      <w:numFmt w:val="bullet"/>
      <w:lvlText w:val=""/>
      <w:lvlJc w:val="left"/>
      <w:pPr>
        <w:ind w:left="720" w:hanging="360"/>
      </w:pPr>
      <w:rPr>
        <w:rFonts w:ascii="Symbol" w:hAnsi="Symbol" w:hint="default"/>
        <w:color w:val="7030A0"/>
      </w:rPr>
    </w:lvl>
    <w:lvl w:ilvl="1">
      <w:start w:val="1"/>
      <w:numFmt w:val="bullet"/>
      <w:lvlText w:val=""/>
      <w:lvlJc w:val="left"/>
      <w:pPr>
        <w:ind w:left="72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095F50"/>
    <w:multiLevelType w:val="hybridMultilevel"/>
    <w:tmpl w:val="D624A4B6"/>
    <w:lvl w:ilvl="0" w:tplc="5FDCCF9E">
      <w:start w:val="1"/>
      <w:numFmt w:val="bullet"/>
      <w:pStyle w:val="Ttulo2"/>
      <w:lvlText w:val=""/>
      <w:lvlPicBulletId w:val="1"/>
      <w:lvlJc w:val="left"/>
      <w:pPr>
        <w:ind w:left="720" w:hanging="360"/>
      </w:pPr>
      <w:rPr>
        <w:rFonts w:ascii="Symbol" w:hAnsi="Symbol" w:hint="default"/>
        <w:color w:val="auto"/>
        <w:sz w:val="40"/>
        <w:szCs w:val="4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06934CD"/>
    <w:multiLevelType w:val="multilevel"/>
    <w:tmpl w:val="613A89F4"/>
    <w:lvl w:ilvl="0">
      <w:start w:val="1"/>
      <w:numFmt w:val="bullet"/>
      <w:lvlText w:val=""/>
      <w:lvlJc w:val="left"/>
      <w:pPr>
        <w:ind w:left="720" w:hanging="360"/>
      </w:pPr>
      <w:rPr>
        <w:rFonts w:ascii="Symbol" w:hAnsi="Symbol" w:hint="default"/>
        <w:color w:val="7030A0"/>
      </w:rPr>
    </w:lvl>
    <w:lvl w:ilvl="1">
      <w:start w:val="1"/>
      <w:numFmt w:val="bullet"/>
      <w:lvlText w:val=""/>
      <w:lvlJc w:val="left"/>
      <w:pPr>
        <w:ind w:left="72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823C2C"/>
    <w:multiLevelType w:val="multilevel"/>
    <w:tmpl w:val="2A289F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9F6EA0"/>
    <w:multiLevelType w:val="hybridMultilevel"/>
    <w:tmpl w:val="7A241602"/>
    <w:lvl w:ilvl="0" w:tplc="1D1E5024">
      <w:start w:val="1"/>
      <w:numFmt w:val="bullet"/>
      <w:lvlText w:val=""/>
      <w:lvlJc w:val="left"/>
      <w:pPr>
        <w:ind w:left="720" w:hanging="360"/>
      </w:pPr>
      <w:rPr>
        <w:rFonts w:ascii="Symbol" w:hAnsi="Symbol"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134B4F"/>
    <w:multiLevelType w:val="hybridMultilevel"/>
    <w:tmpl w:val="269485E0"/>
    <w:lvl w:ilvl="0" w:tplc="040A000F">
      <w:start w:val="1"/>
      <w:numFmt w:val="decimal"/>
      <w:lvlText w:val="%1."/>
      <w:lvlJc w:val="left"/>
      <w:pPr>
        <w:ind w:left="720" w:hanging="360"/>
      </w:pPr>
      <w:rPr>
        <w:rFonts w:hint="default"/>
        <w:color w:val="FFFFFF" w:themeColor="background1"/>
        <w:sz w:val="4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F311F9"/>
    <w:multiLevelType w:val="hybridMultilevel"/>
    <w:tmpl w:val="97B4605C"/>
    <w:lvl w:ilvl="0" w:tplc="F21EF1DC">
      <w:start w:val="1"/>
      <w:numFmt w:val="decimal"/>
      <w:pStyle w:val="Ttulo3"/>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1EA2403"/>
    <w:multiLevelType w:val="multilevel"/>
    <w:tmpl w:val="39B8AE18"/>
    <w:lvl w:ilvl="0">
      <w:start w:val="1"/>
      <w:numFmt w:val="bullet"/>
      <w:lvlText w:val=""/>
      <w:lvlJc w:val="left"/>
      <w:pPr>
        <w:ind w:left="720" w:hanging="360"/>
      </w:pPr>
      <w:rPr>
        <w:rFonts w:ascii="Symbol" w:hAnsi="Symbol" w:hint="default"/>
        <w:color w:val="7030A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EF424E"/>
    <w:multiLevelType w:val="multilevel"/>
    <w:tmpl w:val="68088A36"/>
    <w:lvl w:ilvl="0">
      <w:start w:val="1"/>
      <w:numFmt w:val="bullet"/>
      <w:lvlText w:val="●"/>
      <w:lvlJc w:val="left"/>
      <w:pPr>
        <w:ind w:left="2148" w:hanging="360"/>
      </w:pPr>
      <w:rPr>
        <w:color w:val="7030A0"/>
        <w:u w:val="none"/>
      </w:rPr>
    </w:lvl>
    <w:lvl w:ilvl="1">
      <w:start w:val="1"/>
      <w:numFmt w:val="bullet"/>
      <w:lvlText w:val="○"/>
      <w:lvlJc w:val="left"/>
      <w:pPr>
        <w:ind w:left="2868" w:hanging="360"/>
      </w:pPr>
      <w:rPr>
        <w:u w:val="none"/>
      </w:rPr>
    </w:lvl>
    <w:lvl w:ilvl="2">
      <w:start w:val="1"/>
      <w:numFmt w:val="bullet"/>
      <w:lvlText w:val="■"/>
      <w:lvlJc w:val="left"/>
      <w:pPr>
        <w:ind w:left="3588" w:hanging="360"/>
      </w:pPr>
      <w:rPr>
        <w:u w:val="none"/>
      </w:rPr>
    </w:lvl>
    <w:lvl w:ilvl="3">
      <w:start w:val="1"/>
      <w:numFmt w:val="bullet"/>
      <w:lvlText w:val="●"/>
      <w:lvlJc w:val="left"/>
      <w:pPr>
        <w:ind w:left="4308" w:hanging="360"/>
      </w:pPr>
      <w:rPr>
        <w:u w:val="none"/>
      </w:rPr>
    </w:lvl>
    <w:lvl w:ilvl="4">
      <w:start w:val="1"/>
      <w:numFmt w:val="bullet"/>
      <w:lvlText w:val="○"/>
      <w:lvlJc w:val="left"/>
      <w:pPr>
        <w:ind w:left="5028" w:hanging="360"/>
      </w:pPr>
      <w:rPr>
        <w:u w:val="none"/>
      </w:rPr>
    </w:lvl>
    <w:lvl w:ilvl="5">
      <w:start w:val="1"/>
      <w:numFmt w:val="bullet"/>
      <w:lvlText w:val="■"/>
      <w:lvlJc w:val="left"/>
      <w:pPr>
        <w:ind w:left="5748" w:hanging="360"/>
      </w:pPr>
      <w:rPr>
        <w:u w:val="none"/>
      </w:rPr>
    </w:lvl>
    <w:lvl w:ilvl="6">
      <w:start w:val="1"/>
      <w:numFmt w:val="bullet"/>
      <w:lvlText w:val="●"/>
      <w:lvlJc w:val="left"/>
      <w:pPr>
        <w:ind w:left="6468" w:hanging="360"/>
      </w:pPr>
      <w:rPr>
        <w:u w:val="none"/>
      </w:rPr>
    </w:lvl>
    <w:lvl w:ilvl="7">
      <w:start w:val="1"/>
      <w:numFmt w:val="bullet"/>
      <w:lvlText w:val="○"/>
      <w:lvlJc w:val="left"/>
      <w:pPr>
        <w:ind w:left="7188" w:hanging="360"/>
      </w:pPr>
      <w:rPr>
        <w:u w:val="none"/>
      </w:rPr>
    </w:lvl>
    <w:lvl w:ilvl="8">
      <w:start w:val="1"/>
      <w:numFmt w:val="bullet"/>
      <w:lvlText w:val="■"/>
      <w:lvlJc w:val="left"/>
      <w:pPr>
        <w:ind w:left="7908" w:hanging="360"/>
      </w:pPr>
      <w:rPr>
        <w:u w:val="none"/>
      </w:rPr>
    </w:lvl>
  </w:abstractNum>
  <w:abstractNum w:abstractNumId="9" w15:restartNumberingAfterBreak="0">
    <w:nsid w:val="3B3821B0"/>
    <w:multiLevelType w:val="hybridMultilevel"/>
    <w:tmpl w:val="AB486650"/>
    <w:lvl w:ilvl="0" w:tplc="61265BD4">
      <w:start w:val="1"/>
      <w:numFmt w:val="bullet"/>
      <w:lvlText w:val=""/>
      <w:lvlPicBulletId w:val="0"/>
      <w:lvlJc w:val="left"/>
      <w:pPr>
        <w:ind w:left="644" w:hanging="360"/>
      </w:pPr>
      <w:rPr>
        <w:rFonts w:ascii="Symbol" w:hAnsi="Symbol" w:hint="default"/>
        <w:color w:val="auto"/>
        <w:sz w:val="56"/>
        <w:szCs w:val="5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3D117E2A"/>
    <w:multiLevelType w:val="hybridMultilevel"/>
    <w:tmpl w:val="7FB6FA28"/>
    <w:lvl w:ilvl="0" w:tplc="7ECE36EC">
      <w:start w:val="1"/>
      <w:numFmt w:val="decimal"/>
      <w:pStyle w:val="Ttulo1"/>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1F33CAF"/>
    <w:multiLevelType w:val="hybridMultilevel"/>
    <w:tmpl w:val="CAF4952E"/>
    <w:lvl w:ilvl="0" w:tplc="CD7EF48A">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CED5D51"/>
    <w:multiLevelType w:val="multilevel"/>
    <w:tmpl w:val="982C6166"/>
    <w:lvl w:ilvl="0">
      <w:start w:val="1"/>
      <w:numFmt w:val="bullet"/>
      <w:lvlText w:val=""/>
      <w:lvlJc w:val="left"/>
      <w:pPr>
        <w:ind w:left="720" w:hanging="360"/>
      </w:pPr>
      <w:rPr>
        <w:rFonts w:ascii="Symbol" w:hAnsi="Symbol" w:hint="default"/>
        <w:color w:val="7030A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AD7D7E"/>
    <w:multiLevelType w:val="hybridMultilevel"/>
    <w:tmpl w:val="42A416FC"/>
    <w:lvl w:ilvl="0" w:tplc="4E92A7B6">
      <w:start w:val="1"/>
      <w:numFmt w:val="decimal"/>
      <w:lvlText w:val="%1."/>
      <w:lvlJc w:val="left"/>
      <w:pPr>
        <w:ind w:left="720" w:hanging="360"/>
      </w:pPr>
      <w:rPr>
        <w:rFonts w:hint="default"/>
        <w:color w:val="FFFFFF" w:themeColor="background1"/>
        <w:sz w:val="4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F897845"/>
    <w:multiLevelType w:val="hybridMultilevel"/>
    <w:tmpl w:val="D41CE31A"/>
    <w:lvl w:ilvl="0" w:tplc="1610A4B2">
      <w:start w:val="1"/>
      <w:numFmt w:val="decimal"/>
      <w:lvlText w:val="%1."/>
      <w:lvlJc w:val="left"/>
      <w:pPr>
        <w:ind w:left="1080" w:hanging="360"/>
      </w:pPr>
      <w:rPr>
        <w:rFonts w:ascii="Verdana" w:eastAsia="Verdana" w:hAnsi="Verdana" w:cs="Verdana"/>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5" w15:restartNumberingAfterBreak="0">
    <w:nsid w:val="53D54A68"/>
    <w:multiLevelType w:val="hybridMultilevel"/>
    <w:tmpl w:val="8E668446"/>
    <w:lvl w:ilvl="0" w:tplc="38DE1490">
      <w:start w:val="1"/>
      <w:numFmt w:val="bullet"/>
      <w:lvlText w:val=""/>
      <w:lvlJc w:val="left"/>
      <w:pPr>
        <w:ind w:left="718" w:hanging="360"/>
      </w:pPr>
      <w:rPr>
        <w:rFonts w:ascii="Symbol" w:hAnsi="Symbol" w:hint="default"/>
      </w:rPr>
    </w:lvl>
    <w:lvl w:ilvl="1" w:tplc="040A0003" w:tentative="1">
      <w:start w:val="1"/>
      <w:numFmt w:val="bullet"/>
      <w:lvlText w:val="o"/>
      <w:lvlJc w:val="left"/>
      <w:pPr>
        <w:ind w:left="1438" w:hanging="360"/>
      </w:pPr>
      <w:rPr>
        <w:rFonts w:ascii="Courier New" w:hAnsi="Courier New" w:cs="Courier New" w:hint="default"/>
      </w:rPr>
    </w:lvl>
    <w:lvl w:ilvl="2" w:tplc="040A0005" w:tentative="1">
      <w:start w:val="1"/>
      <w:numFmt w:val="bullet"/>
      <w:lvlText w:val=""/>
      <w:lvlJc w:val="left"/>
      <w:pPr>
        <w:ind w:left="2158" w:hanging="360"/>
      </w:pPr>
      <w:rPr>
        <w:rFonts w:ascii="Wingdings" w:hAnsi="Wingdings" w:hint="default"/>
      </w:rPr>
    </w:lvl>
    <w:lvl w:ilvl="3" w:tplc="040A0001" w:tentative="1">
      <w:start w:val="1"/>
      <w:numFmt w:val="bullet"/>
      <w:lvlText w:val=""/>
      <w:lvlJc w:val="left"/>
      <w:pPr>
        <w:ind w:left="2878" w:hanging="360"/>
      </w:pPr>
      <w:rPr>
        <w:rFonts w:ascii="Symbol" w:hAnsi="Symbol" w:hint="default"/>
      </w:rPr>
    </w:lvl>
    <w:lvl w:ilvl="4" w:tplc="040A0003" w:tentative="1">
      <w:start w:val="1"/>
      <w:numFmt w:val="bullet"/>
      <w:lvlText w:val="o"/>
      <w:lvlJc w:val="left"/>
      <w:pPr>
        <w:ind w:left="3598" w:hanging="360"/>
      </w:pPr>
      <w:rPr>
        <w:rFonts w:ascii="Courier New" w:hAnsi="Courier New" w:cs="Courier New" w:hint="default"/>
      </w:rPr>
    </w:lvl>
    <w:lvl w:ilvl="5" w:tplc="040A0005" w:tentative="1">
      <w:start w:val="1"/>
      <w:numFmt w:val="bullet"/>
      <w:lvlText w:val=""/>
      <w:lvlJc w:val="left"/>
      <w:pPr>
        <w:ind w:left="4318" w:hanging="360"/>
      </w:pPr>
      <w:rPr>
        <w:rFonts w:ascii="Wingdings" w:hAnsi="Wingdings" w:hint="default"/>
      </w:rPr>
    </w:lvl>
    <w:lvl w:ilvl="6" w:tplc="040A0001" w:tentative="1">
      <w:start w:val="1"/>
      <w:numFmt w:val="bullet"/>
      <w:lvlText w:val=""/>
      <w:lvlJc w:val="left"/>
      <w:pPr>
        <w:ind w:left="5038" w:hanging="360"/>
      </w:pPr>
      <w:rPr>
        <w:rFonts w:ascii="Symbol" w:hAnsi="Symbol" w:hint="default"/>
      </w:rPr>
    </w:lvl>
    <w:lvl w:ilvl="7" w:tplc="040A0003" w:tentative="1">
      <w:start w:val="1"/>
      <w:numFmt w:val="bullet"/>
      <w:lvlText w:val="o"/>
      <w:lvlJc w:val="left"/>
      <w:pPr>
        <w:ind w:left="5758" w:hanging="360"/>
      </w:pPr>
      <w:rPr>
        <w:rFonts w:ascii="Courier New" w:hAnsi="Courier New" w:cs="Courier New" w:hint="default"/>
      </w:rPr>
    </w:lvl>
    <w:lvl w:ilvl="8" w:tplc="040A0005" w:tentative="1">
      <w:start w:val="1"/>
      <w:numFmt w:val="bullet"/>
      <w:lvlText w:val=""/>
      <w:lvlJc w:val="left"/>
      <w:pPr>
        <w:ind w:left="6478" w:hanging="360"/>
      </w:pPr>
      <w:rPr>
        <w:rFonts w:ascii="Wingdings" w:hAnsi="Wingdings" w:hint="default"/>
      </w:rPr>
    </w:lvl>
  </w:abstractNum>
  <w:abstractNum w:abstractNumId="16" w15:restartNumberingAfterBreak="0">
    <w:nsid w:val="5D572A3A"/>
    <w:multiLevelType w:val="multilevel"/>
    <w:tmpl w:val="40348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EF2559"/>
    <w:multiLevelType w:val="hybridMultilevel"/>
    <w:tmpl w:val="15107610"/>
    <w:lvl w:ilvl="0" w:tplc="D6AE4A1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0184EE5"/>
    <w:multiLevelType w:val="multilevel"/>
    <w:tmpl w:val="0D5CCCCC"/>
    <w:lvl w:ilvl="0">
      <w:start w:val="1"/>
      <w:numFmt w:val="bullet"/>
      <w:lvlText w:val=""/>
      <w:lvlJc w:val="left"/>
      <w:pPr>
        <w:ind w:left="720" w:hanging="360"/>
      </w:pPr>
      <w:rPr>
        <w:rFonts w:ascii="Symbol" w:hAnsi="Symbol" w:hint="default"/>
        <w:color w:val="7030A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78395E"/>
    <w:multiLevelType w:val="hybridMultilevel"/>
    <w:tmpl w:val="B1DE2DD8"/>
    <w:lvl w:ilvl="0" w:tplc="1D1E5024">
      <w:start w:val="1"/>
      <w:numFmt w:val="bullet"/>
      <w:lvlText w:val=""/>
      <w:lvlJc w:val="left"/>
      <w:pPr>
        <w:ind w:left="720" w:hanging="360"/>
      </w:pPr>
      <w:rPr>
        <w:rFonts w:ascii="Symbol" w:hAnsi="Symbol" w:hint="default"/>
        <w:color w:val="7030A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64055FE4"/>
    <w:multiLevelType w:val="hybridMultilevel"/>
    <w:tmpl w:val="C40A4B20"/>
    <w:lvl w:ilvl="0" w:tplc="C734CA1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4E737B5"/>
    <w:multiLevelType w:val="multilevel"/>
    <w:tmpl w:val="39B8AE18"/>
    <w:lvl w:ilvl="0">
      <w:start w:val="1"/>
      <w:numFmt w:val="bullet"/>
      <w:lvlText w:val=""/>
      <w:lvlJc w:val="left"/>
      <w:pPr>
        <w:ind w:left="720" w:hanging="360"/>
      </w:pPr>
      <w:rPr>
        <w:rFonts w:ascii="Symbol" w:hAnsi="Symbol" w:hint="default"/>
        <w:color w:val="7030A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F336E0"/>
    <w:multiLevelType w:val="hybridMultilevel"/>
    <w:tmpl w:val="16BEBAA8"/>
    <w:lvl w:ilvl="0" w:tplc="D332BDDA">
      <w:start w:val="1"/>
      <w:numFmt w:val="decimal"/>
      <w:lvlText w:val="%1."/>
      <w:lvlJc w:val="left"/>
      <w:pPr>
        <w:ind w:left="720" w:hanging="360"/>
      </w:pPr>
      <w:rPr>
        <w:rFonts w:hint="default"/>
        <w:color w:val="FFFFFF" w:themeColor="background1"/>
        <w:sz w:val="48"/>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4F35A77"/>
    <w:multiLevelType w:val="hybridMultilevel"/>
    <w:tmpl w:val="C706DB0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77EE2927"/>
    <w:multiLevelType w:val="hybridMultilevel"/>
    <w:tmpl w:val="8A88FCB2"/>
    <w:lvl w:ilvl="0" w:tplc="040A000F">
      <w:start w:val="1"/>
      <w:numFmt w:val="decimal"/>
      <w:lvlText w:val="%1."/>
      <w:lvlJc w:val="left"/>
      <w:pPr>
        <w:ind w:left="720" w:hanging="360"/>
      </w:pPr>
      <w:rPr>
        <w:rFonts w:hint="default"/>
        <w:color w:val="FFFFFF" w:themeColor="background1"/>
        <w:sz w:val="4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7A3C21C6"/>
    <w:multiLevelType w:val="multilevel"/>
    <w:tmpl w:val="CC00B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E165DF2"/>
    <w:multiLevelType w:val="hybridMultilevel"/>
    <w:tmpl w:val="8F46DC7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499734447">
    <w:abstractNumId w:val="24"/>
  </w:num>
  <w:num w:numId="2" w16cid:durableId="886914416">
    <w:abstractNumId w:val="13"/>
  </w:num>
  <w:num w:numId="3" w16cid:durableId="1913617154">
    <w:abstractNumId w:val="20"/>
  </w:num>
  <w:num w:numId="4" w16cid:durableId="810287813">
    <w:abstractNumId w:val="17"/>
  </w:num>
  <w:num w:numId="5" w16cid:durableId="367485702">
    <w:abstractNumId w:val="8"/>
  </w:num>
  <w:num w:numId="6" w16cid:durableId="1763380267">
    <w:abstractNumId w:val="19"/>
  </w:num>
  <w:num w:numId="7" w16cid:durableId="392504969">
    <w:abstractNumId w:val="9"/>
  </w:num>
  <w:num w:numId="8" w16cid:durableId="36511448">
    <w:abstractNumId w:val="3"/>
  </w:num>
  <w:num w:numId="9" w16cid:durableId="892428046">
    <w:abstractNumId w:val="21"/>
  </w:num>
  <w:num w:numId="10" w16cid:durableId="1771386374">
    <w:abstractNumId w:val="11"/>
  </w:num>
  <w:num w:numId="11" w16cid:durableId="1977908082">
    <w:abstractNumId w:val="25"/>
  </w:num>
  <w:num w:numId="12" w16cid:durableId="1484201924">
    <w:abstractNumId w:val="4"/>
  </w:num>
  <w:num w:numId="13" w16cid:durableId="1041243906">
    <w:abstractNumId w:val="12"/>
  </w:num>
  <w:num w:numId="14" w16cid:durableId="1888183264">
    <w:abstractNumId w:val="7"/>
  </w:num>
  <w:num w:numId="15" w16cid:durableId="798498374">
    <w:abstractNumId w:val="0"/>
  </w:num>
  <w:num w:numId="16" w16cid:durableId="1298341841">
    <w:abstractNumId w:val="2"/>
  </w:num>
  <w:num w:numId="17" w16cid:durableId="1124424833">
    <w:abstractNumId w:val="16"/>
  </w:num>
  <w:num w:numId="18" w16cid:durableId="1284190763">
    <w:abstractNumId w:val="18"/>
  </w:num>
  <w:num w:numId="19" w16cid:durableId="637302729">
    <w:abstractNumId w:val="1"/>
  </w:num>
  <w:num w:numId="20" w16cid:durableId="404844044">
    <w:abstractNumId w:val="22"/>
  </w:num>
  <w:num w:numId="21" w16cid:durableId="153107154">
    <w:abstractNumId w:val="26"/>
  </w:num>
  <w:num w:numId="22" w16cid:durableId="159396652">
    <w:abstractNumId w:val="14"/>
  </w:num>
  <w:num w:numId="23" w16cid:durableId="871765359">
    <w:abstractNumId w:val="5"/>
  </w:num>
  <w:num w:numId="24" w16cid:durableId="1180778713">
    <w:abstractNumId w:val="6"/>
  </w:num>
  <w:num w:numId="25" w16cid:durableId="843276500">
    <w:abstractNumId w:val="23"/>
  </w:num>
  <w:num w:numId="26" w16cid:durableId="1759670530">
    <w:abstractNumId w:val="10"/>
  </w:num>
  <w:num w:numId="27" w16cid:durableId="229005291">
    <w:abstractNumId w:val="6"/>
    <w:lvlOverride w:ilvl="0">
      <w:startOverride w:val="1"/>
    </w:lvlOverride>
  </w:num>
  <w:num w:numId="28" w16cid:durableId="20122951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f5bLcv1vu1fvw6KnTE1Fo8r30yQZu0U51LBFyC62BNhuNYtfvN1l5LU1RTUMKoHRoOU1SFGGE/Nu5iAtu9mYGA==" w:salt="TIAX4GXRzRRvqchf+roee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12C"/>
    <w:rsid w:val="0005532F"/>
    <w:rsid w:val="00060C2C"/>
    <w:rsid w:val="00096DB5"/>
    <w:rsid w:val="000A4485"/>
    <w:rsid w:val="000E2BE9"/>
    <w:rsid w:val="000E7822"/>
    <w:rsid w:val="001141B4"/>
    <w:rsid w:val="001141E3"/>
    <w:rsid w:val="00127A48"/>
    <w:rsid w:val="00134809"/>
    <w:rsid w:val="001408DE"/>
    <w:rsid w:val="00147C8A"/>
    <w:rsid w:val="00152F8E"/>
    <w:rsid w:val="00166EB4"/>
    <w:rsid w:val="001729EF"/>
    <w:rsid w:val="001958D4"/>
    <w:rsid w:val="001A19B1"/>
    <w:rsid w:val="001A1A17"/>
    <w:rsid w:val="001B68BA"/>
    <w:rsid w:val="001F44FD"/>
    <w:rsid w:val="00221ECF"/>
    <w:rsid w:val="0026763F"/>
    <w:rsid w:val="0027183A"/>
    <w:rsid w:val="00277C54"/>
    <w:rsid w:val="00280749"/>
    <w:rsid w:val="0029633F"/>
    <w:rsid w:val="002D13DA"/>
    <w:rsid w:val="002E7AE0"/>
    <w:rsid w:val="0031432B"/>
    <w:rsid w:val="00330265"/>
    <w:rsid w:val="003720DB"/>
    <w:rsid w:val="0038520C"/>
    <w:rsid w:val="003C0FA3"/>
    <w:rsid w:val="003F00E2"/>
    <w:rsid w:val="00405E19"/>
    <w:rsid w:val="00414BE8"/>
    <w:rsid w:val="00416E97"/>
    <w:rsid w:val="0042712C"/>
    <w:rsid w:val="00434D78"/>
    <w:rsid w:val="004403F2"/>
    <w:rsid w:val="0045352A"/>
    <w:rsid w:val="004647F8"/>
    <w:rsid w:val="004B493F"/>
    <w:rsid w:val="004D3558"/>
    <w:rsid w:val="004D35AB"/>
    <w:rsid w:val="004D4BF2"/>
    <w:rsid w:val="004E536E"/>
    <w:rsid w:val="004F0FA9"/>
    <w:rsid w:val="0050740A"/>
    <w:rsid w:val="005207A1"/>
    <w:rsid w:val="00581C6F"/>
    <w:rsid w:val="005B1E32"/>
    <w:rsid w:val="005C1DC2"/>
    <w:rsid w:val="005C6D66"/>
    <w:rsid w:val="005D265F"/>
    <w:rsid w:val="005F0C7A"/>
    <w:rsid w:val="00630B82"/>
    <w:rsid w:val="00676038"/>
    <w:rsid w:val="006879BC"/>
    <w:rsid w:val="0069013A"/>
    <w:rsid w:val="006A0D5A"/>
    <w:rsid w:val="006A525E"/>
    <w:rsid w:val="006E1B5A"/>
    <w:rsid w:val="006E59F4"/>
    <w:rsid w:val="007171A8"/>
    <w:rsid w:val="00734D6C"/>
    <w:rsid w:val="00771ACE"/>
    <w:rsid w:val="00774AF7"/>
    <w:rsid w:val="00787CBF"/>
    <w:rsid w:val="00792309"/>
    <w:rsid w:val="007F57F4"/>
    <w:rsid w:val="00801E26"/>
    <w:rsid w:val="008355CF"/>
    <w:rsid w:val="00873507"/>
    <w:rsid w:val="0089472A"/>
    <w:rsid w:val="008A5496"/>
    <w:rsid w:val="008E4E22"/>
    <w:rsid w:val="008F24B3"/>
    <w:rsid w:val="008F2ED9"/>
    <w:rsid w:val="008F5AFD"/>
    <w:rsid w:val="008F63C8"/>
    <w:rsid w:val="00902115"/>
    <w:rsid w:val="00906925"/>
    <w:rsid w:val="00911861"/>
    <w:rsid w:val="00925CA3"/>
    <w:rsid w:val="00942D35"/>
    <w:rsid w:val="009A10B6"/>
    <w:rsid w:val="009A654F"/>
    <w:rsid w:val="009C32FA"/>
    <w:rsid w:val="009C5000"/>
    <w:rsid w:val="009D7A96"/>
    <w:rsid w:val="009E2FE7"/>
    <w:rsid w:val="009E4120"/>
    <w:rsid w:val="00A06FBD"/>
    <w:rsid w:val="00A0741B"/>
    <w:rsid w:val="00A17328"/>
    <w:rsid w:val="00A43D2A"/>
    <w:rsid w:val="00A55A93"/>
    <w:rsid w:val="00A741BA"/>
    <w:rsid w:val="00A84CBA"/>
    <w:rsid w:val="00A946D4"/>
    <w:rsid w:val="00A952A1"/>
    <w:rsid w:val="00B00E20"/>
    <w:rsid w:val="00B02723"/>
    <w:rsid w:val="00B153D5"/>
    <w:rsid w:val="00B430AC"/>
    <w:rsid w:val="00B5487E"/>
    <w:rsid w:val="00B74AD7"/>
    <w:rsid w:val="00B83EB0"/>
    <w:rsid w:val="00B94130"/>
    <w:rsid w:val="00B94D50"/>
    <w:rsid w:val="00B965E0"/>
    <w:rsid w:val="00BC7048"/>
    <w:rsid w:val="00BD5B3B"/>
    <w:rsid w:val="00BF4984"/>
    <w:rsid w:val="00C07E0D"/>
    <w:rsid w:val="00C10270"/>
    <w:rsid w:val="00C27D3E"/>
    <w:rsid w:val="00C328F7"/>
    <w:rsid w:val="00C53806"/>
    <w:rsid w:val="00C7278E"/>
    <w:rsid w:val="00CC07F1"/>
    <w:rsid w:val="00CE0CE6"/>
    <w:rsid w:val="00D019F9"/>
    <w:rsid w:val="00D154E0"/>
    <w:rsid w:val="00D7515E"/>
    <w:rsid w:val="00DB1FA2"/>
    <w:rsid w:val="00DC4F27"/>
    <w:rsid w:val="00DD06FE"/>
    <w:rsid w:val="00DD38A5"/>
    <w:rsid w:val="00DD5BB4"/>
    <w:rsid w:val="00DE1AA4"/>
    <w:rsid w:val="00E208A9"/>
    <w:rsid w:val="00E2427D"/>
    <w:rsid w:val="00E77CC8"/>
    <w:rsid w:val="00E87BE0"/>
    <w:rsid w:val="00E91C9F"/>
    <w:rsid w:val="00EA49DD"/>
    <w:rsid w:val="00ED349A"/>
    <w:rsid w:val="00ED57AA"/>
    <w:rsid w:val="00F077B5"/>
    <w:rsid w:val="00F16436"/>
    <w:rsid w:val="00F35352"/>
    <w:rsid w:val="00F359D5"/>
    <w:rsid w:val="00F40FE8"/>
    <w:rsid w:val="00F66371"/>
    <w:rsid w:val="00F917A7"/>
    <w:rsid w:val="00FC2027"/>
    <w:rsid w:val="00FE64E4"/>
    <w:rsid w:val="00FF2113"/>
    <w:rsid w:val="00FF5A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0FF0F"/>
  <w15:chartTrackingRefBased/>
  <w15:docId w15:val="{DC2860C3-3D53-904B-A839-929EBB42B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before="120" w:after="120" w:line="360" w:lineRule="auto"/>
        <w:ind w:left="992"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4485"/>
    <w:pPr>
      <w:numPr>
        <w:numId w:val="26"/>
      </w:numPr>
      <w:spacing w:before="240" w:after="240" w:line="276" w:lineRule="auto"/>
      <w:ind w:left="426" w:hanging="426"/>
      <w:outlineLvl w:val="0"/>
    </w:pPr>
    <w:rPr>
      <w:rFonts w:ascii="Verdana" w:eastAsiaTheme="minorEastAsia" w:hAnsi="Verdana"/>
      <w:b/>
      <w:bCs/>
      <w:spacing w:val="15"/>
      <w:sz w:val="28"/>
      <w:szCs w:val="28"/>
    </w:rPr>
  </w:style>
  <w:style w:type="paragraph" w:styleId="Ttulo2">
    <w:name w:val="heading 2"/>
    <w:basedOn w:val="Prrafodelista"/>
    <w:next w:val="Normal"/>
    <w:link w:val="Ttulo2Car"/>
    <w:uiPriority w:val="9"/>
    <w:unhideWhenUsed/>
    <w:qFormat/>
    <w:rsid w:val="00E87BE0"/>
    <w:pPr>
      <w:numPr>
        <w:numId w:val="19"/>
      </w:numPr>
      <w:spacing w:line="276" w:lineRule="auto"/>
      <w:ind w:left="426" w:hanging="426"/>
      <w:outlineLvl w:val="1"/>
    </w:pPr>
    <w:rPr>
      <w:rFonts w:ascii="Verdana" w:eastAsia="Verdana" w:hAnsi="Verdana" w:cs="Verdana"/>
      <w:b/>
      <w:bCs/>
      <w:color w:val="7030A0"/>
      <w:sz w:val="22"/>
      <w:szCs w:val="22"/>
    </w:rPr>
  </w:style>
  <w:style w:type="paragraph" w:styleId="Ttulo3">
    <w:name w:val="heading 3"/>
    <w:basedOn w:val="Ttulo2"/>
    <w:next w:val="Normal"/>
    <w:link w:val="Ttulo3Car"/>
    <w:uiPriority w:val="9"/>
    <w:unhideWhenUsed/>
    <w:qFormat/>
    <w:rsid w:val="00E77CC8"/>
    <w:pPr>
      <w:numPr>
        <w:numId w:val="24"/>
      </w:numPr>
      <w:outlineLvl w:val="2"/>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uiPriority w:val="99"/>
    <w:semiHidden/>
    <w:unhideWhenUsed/>
    <w:rsid w:val="00A84CBA"/>
    <w:pPr>
      <w:framePr w:w="7920" w:h="1980" w:hRule="exact" w:hSpace="141" w:wrap="auto" w:hAnchor="page" w:xAlign="center" w:yAlign="bottom"/>
      <w:ind w:left="2880"/>
    </w:pPr>
    <w:rPr>
      <w:rFonts w:ascii="Arial" w:eastAsiaTheme="majorEastAsia" w:hAnsi="Arial" w:cs="Times New Roman (Títulos en alf"/>
      <w:sz w:val="28"/>
    </w:rPr>
  </w:style>
  <w:style w:type="character" w:customStyle="1" w:styleId="Ttulo1Car">
    <w:name w:val="Título 1 Car"/>
    <w:basedOn w:val="Fuentedeprrafopredeter"/>
    <w:link w:val="Ttulo1"/>
    <w:uiPriority w:val="9"/>
    <w:rsid w:val="000A4485"/>
    <w:rPr>
      <w:rFonts w:ascii="Verdana" w:eastAsiaTheme="minorEastAsia" w:hAnsi="Verdana"/>
      <w:b/>
      <w:bCs/>
      <w:spacing w:val="15"/>
      <w:sz w:val="28"/>
      <w:szCs w:val="28"/>
    </w:rPr>
  </w:style>
  <w:style w:type="paragraph" w:styleId="Prrafodelista">
    <w:name w:val="List Paragraph"/>
    <w:basedOn w:val="Normal"/>
    <w:uiPriority w:val="34"/>
    <w:qFormat/>
    <w:rsid w:val="00630B82"/>
    <w:pPr>
      <w:ind w:left="720"/>
      <w:contextualSpacing/>
    </w:pPr>
  </w:style>
  <w:style w:type="paragraph" w:styleId="Encabezado">
    <w:name w:val="header"/>
    <w:basedOn w:val="Normal"/>
    <w:link w:val="EncabezadoCar"/>
    <w:uiPriority w:val="99"/>
    <w:unhideWhenUsed/>
    <w:rsid w:val="00630B82"/>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30B82"/>
  </w:style>
  <w:style w:type="paragraph" w:styleId="Piedepgina">
    <w:name w:val="footer"/>
    <w:basedOn w:val="Normal"/>
    <w:link w:val="PiedepginaCar"/>
    <w:uiPriority w:val="99"/>
    <w:unhideWhenUsed/>
    <w:rsid w:val="00630B82"/>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30B82"/>
  </w:style>
  <w:style w:type="paragraph" w:styleId="Ttulo">
    <w:name w:val="Title"/>
    <w:basedOn w:val="Sinespaciado"/>
    <w:next w:val="Normal"/>
    <w:link w:val="TtuloCar"/>
    <w:uiPriority w:val="10"/>
    <w:qFormat/>
    <w:rsid w:val="00FE64E4"/>
    <w:pPr>
      <w:ind w:left="0" w:firstLine="0"/>
      <w:jc w:val="right"/>
    </w:pPr>
    <w:rPr>
      <w:rFonts w:ascii="Verdana" w:eastAsiaTheme="minorEastAsia" w:hAnsi="Verdana"/>
      <w:caps/>
      <w:color w:val="323E4F" w:themeColor="text2" w:themeShade="BF"/>
      <w:sz w:val="52"/>
      <w:szCs w:val="52"/>
    </w:rPr>
  </w:style>
  <w:style w:type="character" w:customStyle="1" w:styleId="TtuloCar">
    <w:name w:val="Título Car"/>
    <w:basedOn w:val="Fuentedeprrafopredeter"/>
    <w:link w:val="Ttulo"/>
    <w:uiPriority w:val="10"/>
    <w:rsid w:val="00FE64E4"/>
    <w:rPr>
      <w:rFonts w:ascii="Verdana" w:eastAsiaTheme="minorEastAsia" w:hAnsi="Verdana"/>
      <w:caps/>
      <w:color w:val="323E4F" w:themeColor="text2" w:themeShade="BF"/>
      <w:sz w:val="52"/>
      <w:szCs w:val="52"/>
    </w:rPr>
  </w:style>
  <w:style w:type="paragraph" w:styleId="Sinespaciado">
    <w:name w:val="No Spacing"/>
    <w:uiPriority w:val="1"/>
    <w:qFormat/>
    <w:rsid w:val="00FE64E4"/>
    <w:pPr>
      <w:spacing w:before="0" w:after="0" w:line="240" w:lineRule="auto"/>
    </w:pPr>
  </w:style>
  <w:style w:type="character" w:styleId="Hipervnculo">
    <w:name w:val="Hyperlink"/>
    <w:basedOn w:val="Fuentedeprrafopredeter"/>
    <w:uiPriority w:val="99"/>
    <w:unhideWhenUsed/>
    <w:rsid w:val="001141E3"/>
    <w:rPr>
      <w:color w:val="0563C1" w:themeColor="hyperlink"/>
      <w:u w:val="single"/>
    </w:rPr>
  </w:style>
  <w:style w:type="paragraph" w:styleId="TDC1">
    <w:name w:val="toc 1"/>
    <w:basedOn w:val="Normal"/>
    <w:next w:val="Normal"/>
    <w:autoRedefine/>
    <w:uiPriority w:val="39"/>
    <w:unhideWhenUsed/>
    <w:rsid w:val="000A4485"/>
    <w:pPr>
      <w:tabs>
        <w:tab w:val="right" w:leader="dot" w:pos="9204"/>
      </w:tabs>
      <w:spacing w:after="100"/>
      <w:ind w:left="0"/>
    </w:pPr>
    <w:rPr>
      <w:rFonts w:ascii="Verdana" w:hAnsi="Verdana"/>
      <w:b/>
    </w:rPr>
  </w:style>
  <w:style w:type="character" w:customStyle="1" w:styleId="Ttulo3Car">
    <w:name w:val="Título 3 Car"/>
    <w:basedOn w:val="Fuentedeprrafopredeter"/>
    <w:link w:val="Ttulo3"/>
    <w:uiPriority w:val="9"/>
    <w:rsid w:val="00E77CC8"/>
    <w:rPr>
      <w:rFonts w:ascii="Verdana" w:eastAsia="Verdana" w:hAnsi="Verdana" w:cs="Verdana"/>
      <w:b/>
      <w:bCs/>
      <w:sz w:val="22"/>
      <w:szCs w:val="22"/>
    </w:rPr>
  </w:style>
  <w:style w:type="character" w:customStyle="1" w:styleId="Ttulo2Car">
    <w:name w:val="Título 2 Car"/>
    <w:basedOn w:val="Fuentedeprrafopredeter"/>
    <w:link w:val="Ttulo2"/>
    <w:uiPriority w:val="9"/>
    <w:rsid w:val="00E87BE0"/>
    <w:rPr>
      <w:rFonts w:ascii="Verdana" w:eastAsia="Verdana" w:hAnsi="Verdana" w:cs="Verdana"/>
      <w:b/>
      <w:bCs/>
      <w:color w:val="7030A0"/>
      <w:sz w:val="22"/>
      <w:szCs w:val="22"/>
    </w:rPr>
  </w:style>
  <w:style w:type="paragraph" w:styleId="Citadestacada">
    <w:name w:val="Intense Quote"/>
    <w:basedOn w:val="Normal"/>
    <w:next w:val="Normal"/>
    <w:link w:val="CitadestacadaCar"/>
    <w:uiPriority w:val="30"/>
    <w:qFormat/>
    <w:rsid w:val="00B153D5"/>
    <w:pPr>
      <w:spacing w:line="276" w:lineRule="auto"/>
      <w:ind w:left="567" w:firstLine="0"/>
    </w:pPr>
    <w:rPr>
      <w:rFonts w:ascii="Verdana" w:hAnsi="Verdana"/>
      <w:color w:val="4472C4" w:themeColor="accent1"/>
      <w:sz w:val="22"/>
    </w:rPr>
  </w:style>
  <w:style w:type="character" w:customStyle="1" w:styleId="CitadestacadaCar">
    <w:name w:val="Cita destacada Car"/>
    <w:basedOn w:val="Fuentedeprrafopredeter"/>
    <w:link w:val="Citadestacada"/>
    <w:uiPriority w:val="30"/>
    <w:rsid w:val="00B153D5"/>
    <w:rPr>
      <w:rFonts w:ascii="Verdana" w:hAnsi="Verdana"/>
      <w:color w:val="4472C4" w:themeColor="accent1"/>
      <w:sz w:val="22"/>
    </w:rPr>
  </w:style>
  <w:style w:type="paragraph" w:styleId="TDC2">
    <w:name w:val="toc 2"/>
    <w:basedOn w:val="Normal"/>
    <w:next w:val="Normal"/>
    <w:autoRedefine/>
    <w:uiPriority w:val="39"/>
    <w:unhideWhenUsed/>
    <w:rsid w:val="000A4485"/>
    <w:pPr>
      <w:spacing w:after="100"/>
      <w:ind w:left="240"/>
    </w:pPr>
    <w:rPr>
      <w:rFonts w:ascii="Verdana" w:hAnsi="Verdana"/>
      <w:b/>
      <w:sz w:val="20"/>
    </w:rPr>
  </w:style>
  <w:style w:type="character" w:styleId="Nmerodepgina">
    <w:name w:val="page number"/>
    <w:basedOn w:val="Fuentedeprrafopredeter"/>
    <w:uiPriority w:val="99"/>
    <w:semiHidden/>
    <w:unhideWhenUsed/>
    <w:rsid w:val="00A952A1"/>
  </w:style>
  <w:style w:type="paragraph" w:styleId="TDC3">
    <w:name w:val="toc 3"/>
    <w:basedOn w:val="Normal"/>
    <w:next w:val="Normal"/>
    <w:autoRedefine/>
    <w:uiPriority w:val="39"/>
    <w:unhideWhenUsed/>
    <w:rsid w:val="00792309"/>
    <w:pPr>
      <w:tabs>
        <w:tab w:val="left" w:pos="1200"/>
        <w:tab w:val="right" w:leader="dot" w:pos="9204"/>
      </w:tabs>
      <w:spacing w:after="100"/>
      <w:ind w:left="1065"/>
    </w:pPr>
    <w:rPr>
      <w:rFonts w:ascii="Verdana" w:hAnsi="Verdana"/>
      <w:sz w:val="20"/>
    </w:rPr>
  </w:style>
  <w:style w:type="character" w:styleId="Mencinsinresolver">
    <w:name w:val="Unresolved Mention"/>
    <w:basedOn w:val="Fuentedeprrafopredeter"/>
    <w:uiPriority w:val="99"/>
    <w:semiHidden/>
    <w:unhideWhenUsed/>
    <w:rsid w:val="00DD0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13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g"/><Relationship Id="rId18" Type="http://schemas.openxmlformats.org/officeDocument/2006/relationships/hyperlink" Target="https://vimeo.com/218434426"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B3D6B5F12675F46AC02E95435820FFF" ma:contentTypeVersion="17" ma:contentTypeDescription="Crear nuevo documento." ma:contentTypeScope="" ma:versionID="ccd3fb755c9d0fa1ababdb4f2847e9ed">
  <xsd:schema xmlns:xsd="http://www.w3.org/2001/XMLSchema" xmlns:xs="http://www.w3.org/2001/XMLSchema" xmlns:p="http://schemas.microsoft.com/office/2006/metadata/properties" xmlns:ns2="76363518-ef83-42a4-b001-c376412686ae" xmlns:ns3="17f88323-e67f-42b5-9012-01086193aa03" targetNamespace="http://schemas.microsoft.com/office/2006/metadata/properties" ma:root="true" ma:fieldsID="ab29373ef6f73a4121a48ee8afe13b01" ns2:_="" ns3:_="">
    <xsd:import namespace="76363518-ef83-42a4-b001-c376412686ae"/>
    <xsd:import namespace="17f88323-e67f-42b5-9012-01086193aa03"/>
    <xsd:element name="properties">
      <xsd:complexType>
        <xsd:sequence>
          <xsd:element name="documentManagement">
            <xsd:complexType>
              <xsd:all>
                <xsd:element ref="ns2:MediaServiceMetadata" minOccurs="0"/>
                <xsd:element ref="ns2:MediaServiceFastMetadata" minOccurs="0"/>
                <xsd:element ref="ns2:Fech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3518-ef83-42a4-b001-c376412686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echa" ma:index="10" nillable="true" ma:displayName="Fecha" ma:format="DateOnly" ma:internalName="Fecha">
      <xsd:simpleType>
        <xsd:restriction base="dms:DateTim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7346039f-02cc-4ba4-a79b-23b6212a2d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f88323-e67f-42b5-9012-01086193aa0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be685e1f-4a8e-4d36-b3ee-53fb49559386}" ma:internalName="TaxCatchAll" ma:showField="CatchAllData" ma:web="17f88323-e67f-42b5-9012-01086193aa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BE0C05-6134-A246-8F05-4448CEEC01B8}">
  <ds:schemaRefs>
    <ds:schemaRef ds:uri="http://schemas.openxmlformats.org/officeDocument/2006/bibliography"/>
  </ds:schemaRefs>
</ds:datastoreItem>
</file>

<file path=customXml/itemProps2.xml><?xml version="1.0" encoding="utf-8"?>
<ds:datastoreItem xmlns:ds="http://schemas.openxmlformats.org/officeDocument/2006/customXml" ds:itemID="{C9C27DE8-3B32-4C8D-AE9D-1126B205F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3518-ef83-42a4-b001-c376412686ae"/>
    <ds:schemaRef ds:uri="17f88323-e67f-42b5-9012-01086193a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21A1F0-0821-422E-BC96-71B241499F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4239</Words>
  <Characters>23320</Characters>
  <Application>Microsoft Office Word</Application>
  <DocSecurity>8</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icano@accedes.es</dc:creator>
  <cp:keywords/>
  <dc:description/>
  <cp:lastModifiedBy>Álvaro Cervera Escario</cp:lastModifiedBy>
  <cp:revision>7</cp:revision>
  <cp:lastPrinted>2022-05-30T09:15:00Z</cp:lastPrinted>
  <dcterms:created xsi:type="dcterms:W3CDTF">2022-09-27T15:04:00Z</dcterms:created>
  <dcterms:modified xsi:type="dcterms:W3CDTF">2022-10-13T11:55:00Z</dcterms:modified>
</cp:coreProperties>
</file>